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5518DD" w:rsidTr="00AA0D2C">
        <w:trPr>
          <w:trHeight w:hRule="exact" w:val="737"/>
        </w:trPr>
        <w:tc>
          <w:tcPr>
            <w:tcW w:w="7230" w:type="dxa"/>
          </w:tcPr>
          <w:p w:rsidR="00206780" w:rsidRDefault="00523338" w:rsidP="00206780">
            <w:pPr>
              <w:pStyle w:val="Header-info"/>
              <w:framePr w:wrap="auto" w:vAnchor="margin" w:hAnchor="text" w:yAlign="inline"/>
            </w:pPr>
            <w:r>
              <w:t xml:space="preserve">Dokument oprettet </w:t>
            </w:r>
            <w:bookmarkStart w:id="0" w:name="Dato"/>
            <w:r>
              <w:t>07. december 2021</w:t>
            </w:r>
            <w:bookmarkEnd w:id="0"/>
            <w:r w:rsidR="004C6440">
              <w:t xml:space="preserve"> / </w:t>
            </w:r>
            <w:bookmarkStart w:id="1" w:name="Init"/>
            <w:r w:rsidR="004C6440">
              <w:t>avj_dh</w:t>
            </w:r>
            <w:bookmarkEnd w:id="1"/>
          </w:p>
          <w:p w:rsidR="00333E52" w:rsidRPr="00244D70" w:rsidRDefault="00523338" w:rsidP="00206780">
            <w:pPr>
              <w:pStyle w:val="Header-info"/>
              <w:framePr w:wrap="auto" w:vAnchor="margin" w:hAnchor="text" w:yAlign="inline"/>
            </w:pPr>
            <w:r>
              <w:t xml:space="preserve">Sag </w:t>
            </w:r>
            <w:bookmarkStart w:id="2" w:name="SagsID"/>
            <w:r>
              <w:t>27-2021-00787</w:t>
            </w:r>
            <w:bookmarkEnd w:id="2"/>
            <w:r>
              <w:t xml:space="preserve"> – Dok. </w:t>
            </w:r>
            <w:bookmarkStart w:id="3" w:name="DokID"/>
            <w:r>
              <w:t>558152</w:t>
            </w:r>
            <w:bookmarkEnd w:id="3"/>
          </w:p>
        </w:tc>
      </w:tr>
    </w:tbl>
    <w:p w:rsidR="00DB335E" w:rsidRDefault="00523338" w:rsidP="00316531">
      <w:pPr>
        <w:pStyle w:val="Overskrift1"/>
        <w:pBdr>
          <w:bottom w:val="single" w:sz="4" w:space="1" w:color="auto"/>
        </w:pBdr>
      </w:pPr>
      <w:bookmarkStart w:id="4" w:name="Overskrift"/>
      <w:bookmarkStart w:id="5" w:name="_Toc89769110"/>
      <w:r>
        <w:t>Finanslovsaftalen i handicapperspektiv</w:t>
      </w:r>
      <w:bookmarkEnd w:id="4"/>
      <w:bookmarkEnd w:id="5"/>
    </w:p>
    <w:p w:rsidR="00075141" w:rsidRDefault="00075141" w:rsidP="00075141">
      <w:r>
        <w:t>For første gang i mange år er handicapområdet (socialområdet) med i finanslovsaft</w:t>
      </w:r>
      <w:r w:rsidR="00843426">
        <w:t>a</w:t>
      </w:r>
      <w:r>
        <w:t xml:space="preserve">len – fremfor at være henvist til midlertidige indsatser i SSA reserven (den tidligere satspulje). Det er positivt at der er sat permanente midler af til opfølgningen på evalueringen af det specialiserede socialområde, udvidelse af varslingsreglerne samt indskrænkning af kommunernes mulighed for at udmåle rådighedstimer fremfor hjælpetimer i BPA-ordningen. DH ser initiativerne som et godt første skridt i den rigtige retning, men det kræver løbende flere penge, hvis ambitionerne om en ambitiøs specialeplan på det specialiserede socialområde skal blive til virkelighed. </w:t>
      </w:r>
    </w:p>
    <w:p w:rsidR="00075141" w:rsidRDefault="00075141" w:rsidP="00075141"/>
    <w:p w:rsidR="00075141" w:rsidRDefault="00075141" w:rsidP="00075141">
      <w:r>
        <w:t xml:space="preserve"> </w:t>
      </w:r>
      <w:r w:rsidR="00843426">
        <w:t xml:space="preserve">Aftalen indeholder også flere positive elementer på skole- og uddannelsesområdet set i handicapperspektiv. Herunder bl.a. bedre mulighed for sen skolestart, ekstraordinært løft af FGU og en kortlægning af udfordringerne i PPR. </w:t>
      </w:r>
    </w:p>
    <w:p w:rsidR="00075141" w:rsidRDefault="00075141" w:rsidP="00075141"/>
    <w:p w:rsidR="00075141" w:rsidRDefault="00843426" w:rsidP="00075141">
      <w:r>
        <w:t xml:space="preserve">Nedenfor er en gennemgang af indhold i aftalen med betydning for mennesker med handicap. </w:t>
      </w:r>
    </w:p>
    <w:p w:rsidR="00A0317F" w:rsidRDefault="00A0317F" w:rsidP="00A0317F">
      <w:pPr>
        <w:pStyle w:val="Overskrift2"/>
      </w:pPr>
      <w:bookmarkStart w:id="6" w:name="_Toc89769111"/>
      <w:r>
        <w:t>S</w:t>
      </w:r>
      <w:r>
        <w:t>ocialområdet</w:t>
      </w:r>
      <w:bookmarkEnd w:id="6"/>
    </w:p>
    <w:p w:rsidR="00A0317F" w:rsidRDefault="00A0317F" w:rsidP="00A0317F">
      <w:r>
        <w:t xml:space="preserve">I forhold til regeringens finanslovsudspil </w:t>
      </w:r>
      <w:r>
        <w:t>afsættes</w:t>
      </w:r>
      <w:r>
        <w:t xml:space="preserve"> der ekstra </w:t>
      </w:r>
      <w:r>
        <w:t>40 mio. kr. i 2022 og 70 mio. kr. årligt fra 2023 til forbedret offentlig støtte og hjælp til personer med handicap</w:t>
      </w:r>
      <w:r>
        <w:t xml:space="preserve">. Derudover er der fundet 30 mio. kroner fra 2022 og frem i omprioriteringer på socialområdet. </w:t>
      </w:r>
    </w:p>
    <w:p w:rsidR="00A0317F" w:rsidRDefault="00A0317F" w:rsidP="00A0317F">
      <w:pPr>
        <w:pStyle w:val="Overskrift3"/>
      </w:pPr>
      <w:bookmarkStart w:id="7" w:name="_Toc89769112"/>
      <w:r>
        <w:t>Opfølgning på evaluering af det specialiserede socialområde</w:t>
      </w:r>
      <w:bookmarkEnd w:id="7"/>
    </w:p>
    <w:p w:rsidR="00A0317F" w:rsidRDefault="00A0317F" w:rsidP="00A0317F">
      <w:r>
        <w:t>Der afsættes i alt 100 mio. kr. årligt fra 2022 til 2025 til opfølgning på evalueringen af det specialiserede socialområde. De 30 mio. kr. årligt findes ved intern omprioritering af socialområdet.</w:t>
      </w:r>
    </w:p>
    <w:p w:rsidR="00A0317F" w:rsidRDefault="00A0317F" w:rsidP="00A0317F"/>
    <w:p w:rsidR="00A0317F" w:rsidRDefault="00A0317F" w:rsidP="00A0317F">
      <w:r>
        <w:rPr>
          <w:i/>
          <w:iCs/>
        </w:rPr>
        <w:t>DH mener,</w:t>
      </w:r>
      <w:r>
        <w:t xml:space="preserve"> at det er et godt omend mindre skridt i den rigtige retning, at der afsættes 100 mio. kr. årligt til opfølgning på evaluering af det specialiserede socialområde. DH vil arbejde for, at de kommende forhandlinger får visitation og finansiering som centrale elementer i en specialeplanlægning på det specialiserede socialområde, og at der løbende afsættes yderligere midler til implementering af specialeplanen.</w:t>
      </w:r>
    </w:p>
    <w:p w:rsidR="00A0317F" w:rsidRDefault="00A0317F" w:rsidP="00A0317F">
      <w:pPr>
        <w:pStyle w:val="Overskrift3"/>
      </w:pPr>
      <w:bookmarkStart w:id="8" w:name="_Toc89769113"/>
      <w:r>
        <w:t>Udvidelse af varslingsregler</w:t>
      </w:r>
      <w:bookmarkEnd w:id="8"/>
    </w:p>
    <w:p w:rsidR="00A0317F" w:rsidRDefault="00A0317F" w:rsidP="00A0317F">
      <w:r>
        <w:t xml:space="preserve">Der afsættes 15 mio. kr. årligt fra 2023-2025 til at udvide bestemmelserne om varsling, så nedsættelse eller fratagelse af hjemmetræning af børn, socialpædagogisk støtte, ledsagelse, beskæftigelses-, aktivitets- og samværstilbud, dækning af merudgifter på børne- og voksenområdet samt midlertidige og længerevarende botilbud, skal varsles mindst 14 uger før afgørelsen træder i kraft. Samtidig udvides fast track-ordningen i Ankestyrelsen, så Ankestyrelsen kan nå at færdigbehandle eventuelle klager inden for varslingsperioden. </w:t>
      </w:r>
    </w:p>
    <w:p w:rsidR="00A0317F" w:rsidRDefault="00A0317F" w:rsidP="00A0317F"/>
    <w:p w:rsidR="00A0317F" w:rsidRDefault="00A0317F" w:rsidP="00A0317F">
      <w:r>
        <w:rPr>
          <w:i/>
          <w:iCs/>
        </w:rPr>
        <w:t>DH mener,</w:t>
      </w:r>
      <w:r>
        <w:t xml:space="preserve"> at det er meget positivt, at varslingsreglerne udvides til at omfatte flere paragraffer for hjælp, der har stor indgriben i borgernes hverdagsliv. Det er ligeledes positivt, at Ankestyrelsens fast track-ordning tilsvarende udvides.</w:t>
      </w:r>
    </w:p>
    <w:p w:rsidR="00A0317F" w:rsidRDefault="00A0317F" w:rsidP="00A0317F">
      <w:pPr>
        <w:pStyle w:val="Overskrift3"/>
      </w:pPr>
      <w:bookmarkStart w:id="9" w:name="_Toc89769114"/>
      <w:r>
        <w:t>Flere aktive hjælpertimer, færre rådighedstimer</w:t>
      </w:r>
      <w:bookmarkEnd w:id="9"/>
    </w:p>
    <w:p w:rsidR="00A0317F" w:rsidRDefault="00A0317F" w:rsidP="00A0317F">
      <w:r>
        <w:t xml:space="preserve">Der afsættes 15 mio. kr. i 2022 og 30 mio. kr. årligt i 2023-2025 til at indskrænke kommunernes mulighed for at udmåle rådighedstimer for borgere i hjælpeordning i stedet for aktive hjælpetimer.  </w:t>
      </w:r>
    </w:p>
    <w:p w:rsidR="00A0317F" w:rsidRDefault="00A0317F" w:rsidP="00A0317F"/>
    <w:p w:rsidR="00A0317F" w:rsidRDefault="00A0317F" w:rsidP="00A0317F">
      <w:r>
        <w:rPr>
          <w:i/>
          <w:iCs/>
        </w:rPr>
        <w:t>DH mener,</w:t>
      </w:r>
      <w:r>
        <w:t xml:space="preserve"> at det positivt, at der sættes ind for at indskrænke kommunernes mulighed for at udmåle rådighedstimer. Det er et godt skridt på vej mod at værne om den brugerstyrede personlige assistance (BPA). Der er samtidig brug for at sikre, at alle med behov for en BPA-ordning også får adgang til ordningen.</w:t>
      </w:r>
    </w:p>
    <w:p w:rsidR="00A0317F" w:rsidRDefault="00A0317F" w:rsidP="00A0317F">
      <w:pPr>
        <w:pStyle w:val="Overskrift2"/>
      </w:pPr>
      <w:bookmarkStart w:id="10" w:name="_Toc89769115"/>
      <w:r>
        <w:t>Skole – og uddannelsesområdet</w:t>
      </w:r>
      <w:bookmarkEnd w:id="10"/>
    </w:p>
    <w:p w:rsidR="00A0317F" w:rsidRDefault="00A0317F" w:rsidP="00A0317F">
      <w:pPr>
        <w:pStyle w:val="Overskrift3"/>
        <w:rPr>
          <w:color w:val="1F497D"/>
        </w:rPr>
      </w:pPr>
      <w:bookmarkStart w:id="11" w:name="_Toc89769116"/>
      <w:r>
        <w:t>Styrkelse af læreruddannelsen</w:t>
      </w:r>
      <w:bookmarkEnd w:id="11"/>
    </w:p>
    <w:p w:rsidR="00A0317F" w:rsidRDefault="00A0317F" w:rsidP="00A0317F">
      <w:r>
        <w:t>Der er kommet anbefalinger til en ny og styrket læreruddannelse, der i højere grad skal klæde de studerende på til opgaven som lærer. For at understøtte forbedringer af uddannelserne for de studerende med udgangspunkt i det udviklingsarbejde, der ligger bag anbefalingerne, afsættes midler til at styrke rammerne for læreruddannelserne. Der afsættes 65 mio. kr. i 2022 og 125 mio. kr. årligt fra 2023 og frem til at styrke læreruddannelsen.</w:t>
      </w:r>
    </w:p>
    <w:p w:rsidR="00A0317F" w:rsidRDefault="00A0317F" w:rsidP="00A0317F"/>
    <w:p w:rsidR="00A0317F" w:rsidRDefault="00A0317F" w:rsidP="00A0317F">
      <w:pPr>
        <w:rPr>
          <w:color w:val="1F497D"/>
        </w:rPr>
      </w:pPr>
      <w:r>
        <w:rPr>
          <w:i/>
          <w:iCs/>
        </w:rPr>
        <w:t>DH mener</w:t>
      </w:r>
      <w:r>
        <w:rPr>
          <w:i/>
          <w:iCs/>
        </w:rPr>
        <w:t>,</w:t>
      </w:r>
      <w:r>
        <w:t xml:space="preserve"> </w:t>
      </w:r>
      <w:r>
        <w:t>at d</w:t>
      </w:r>
      <w:r>
        <w:t xml:space="preserve">et er positivt, at der prioriteres midler til at dygtiggøre de kommende lærere. Der vil dog være mange holdninger og ønsker til, hvordan læreruddannelsen konkret skal ændres og midlerne udmøntes. DH har sammen med De Lærerstuderende Landssammenslutning længe haft et ønske om at klæde lærerne bedre på til at varetage inklusionsopgaven gennem en styrkelse af læreruddannelsen. </w:t>
      </w:r>
    </w:p>
    <w:p w:rsidR="00A0317F" w:rsidRDefault="00A0317F" w:rsidP="00A0317F">
      <w:pPr>
        <w:rPr>
          <w:color w:val="1F497D"/>
        </w:rPr>
      </w:pPr>
    </w:p>
    <w:p w:rsidR="00A0317F" w:rsidRDefault="00A0317F" w:rsidP="00A0317F">
      <w:pPr>
        <w:pStyle w:val="Overskrift3"/>
      </w:pPr>
      <w:bookmarkStart w:id="12" w:name="_Toc89769117"/>
      <w:r>
        <w:t>Bedre mulighed for sen skolestart</w:t>
      </w:r>
      <w:bookmarkEnd w:id="12"/>
      <w:r>
        <w:t xml:space="preserve"> </w:t>
      </w:r>
    </w:p>
    <w:p w:rsidR="00A0317F" w:rsidRDefault="00A0317F" w:rsidP="00A0317F">
      <w:r>
        <w:t>Børn, der trivselsmæssigt, socialt og fagligt har behov for et ekstra år i børnehave, skal have mulighed for udskudt skolestart. Der afsættes 109 mio. kr. i 2023, 200 mio. kr. i 2024, 202 mio. kr. i 2025 og 200 mio. kr. årligt fra 2026. Sigtet er at sikre de økonomiske rammer for, at flere børn kan starte senere i skole.</w:t>
      </w:r>
    </w:p>
    <w:p w:rsidR="00A0317F" w:rsidRDefault="00A0317F" w:rsidP="00A0317F"/>
    <w:p w:rsidR="00A0317F" w:rsidRDefault="00A0317F" w:rsidP="00A0317F">
      <w:r>
        <w:rPr>
          <w:i/>
          <w:iCs/>
        </w:rPr>
        <w:t>DH mener</w:t>
      </w:r>
      <w:r>
        <w:rPr>
          <w:i/>
          <w:iCs/>
        </w:rPr>
        <w:t>,</w:t>
      </w:r>
      <w:r>
        <w:t xml:space="preserve"> </w:t>
      </w:r>
      <w:r>
        <w:t>at d</w:t>
      </w:r>
      <w:r>
        <w:t xml:space="preserve">et vil komme børn med handicap til gavn, at det bliver lettere at få udskudt skolestarten et år, hvis de har brug for ekstra tid til at modnes og blive klar til overgangen fra børnehave til skole. </w:t>
      </w:r>
    </w:p>
    <w:p w:rsidR="00A0317F" w:rsidRDefault="00A0317F" w:rsidP="00A0317F">
      <w:pPr>
        <w:pStyle w:val="Overskrift3"/>
      </w:pPr>
      <w:bookmarkStart w:id="13" w:name="_Toc89769118"/>
      <w:r>
        <w:t>Sænkelse af klasseloft til 26 elever i 0. – 2. klasse</w:t>
      </w:r>
      <w:bookmarkEnd w:id="13"/>
    </w:p>
    <w:p w:rsidR="00A0317F" w:rsidRDefault="00A0317F" w:rsidP="00A0317F">
      <w:r>
        <w:t>Der afsættes en årlig varig ramme på 95 mio. kr. i 2023, 146 mio. kr. i 2024, 199 mio. kr. i 2025 og 154 mio. kr. i 2026 og frem (2022-pl) til at sænke klasseloftet til 26 elever i 0. – 2. klasse (med mulighed for op til 28 elever i helt særlige tilfælde) for nye årgange fra og med skoleåret 2023/2024. En sænkelse af klasseloftet vil kræve folkeskoleforligskredsens opbakning. Formålet er at understøtte, at alle børn får en god skolestart, der understøtter børnenes faglige, trivselsmæssige og sociale udvikling</w:t>
      </w:r>
    </w:p>
    <w:p w:rsidR="00A0317F" w:rsidRDefault="00A0317F" w:rsidP="00A0317F"/>
    <w:p w:rsidR="00A0317F" w:rsidRDefault="00A0317F" w:rsidP="00A0317F">
      <w:r>
        <w:rPr>
          <w:i/>
          <w:iCs/>
        </w:rPr>
        <w:t>DH mener</w:t>
      </w:r>
      <w:r>
        <w:rPr>
          <w:i/>
          <w:iCs/>
        </w:rPr>
        <w:t>,</w:t>
      </w:r>
      <w:r>
        <w:t xml:space="preserve"> </w:t>
      </w:r>
      <w:r>
        <w:t>at d</w:t>
      </w:r>
      <w:r>
        <w:t xml:space="preserve">er ingen tvivl </w:t>
      </w:r>
      <w:r>
        <w:t xml:space="preserve">er </w:t>
      </w:r>
      <w:r>
        <w:t xml:space="preserve">om, at antallet af elever i en klasse har betydning for undervisningsmiljøet og lærernes muligheder for at skabe god inklusion i klassen. Det er derfor et udmærket tiltag at sænke klasseloftet. </w:t>
      </w:r>
    </w:p>
    <w:p w:rsidR="00A0317F" w:rsidRDefault="00A0317F" w:rsidP="00A0317F">
      <w:pPr>
        <w:pStyle w:val="Overskrift3"/>
      </w:pPr>
      <w:bookmarkStart w:id="14" w:name="_Toc89769119"/>
      <w:r>
        <w:t>Ekstraordinært løft af FGU</w:t>
      </w:r>
      <w:bookmarkEnd w:id="14"/>
      <w:r>
        <w:t xml:space="preserve"> </w:t>
      </w:r>
    </w:p>
    <w:p w:rsidR="00A0317F" w:rsidRDefault="00A0317F" w:rsidP="00A0317F">
      <w:r>
        <w:t>FGU løfter en vigtig opgave i forhold til at sikre, at unge uden uddannelse og job rustes til at gennemføre en ungdomsuddannelse eller opnå varigt fodfæste på arbejdsmarkedet. FGU</w:t>
      </w:r>
      <w:r>
        <w:t>-</w:t>
      </w:r>
      <w:r>
        <w:t>institutionerne åbnede i august 2019 og har haft en opstart præget af COVID-19. Aftalepartierne er enige om, at de stadigt nye institutioner skal have bedre betingelser. Derfor afsættes 75 mio. kr. årligt i 2022 og 2023 til støtte af undervisningsformål på FGU-institutionerne. Midlerne vil blive udmøntet som et særtilskud på baggrund af antal skoler og årselevsaktivitet i 2021, som institutionerne kan disponere i henhold til lokale behov</w:t>
      </w:r>
    </w:p>
    <w:p w:rsidR="00A0317F" w:rsidRDefault="00A0317F" w:rsidP="00A0317F"/>
    <w:p w:rsidR="00A0317F" w:rsidRDefault="00A0317F" w:rsidP="00A0317F">
      <w:r>
        <w:rPr>
          <w:i/>
          <w:iCs/>
        </w:rPr>
        <w:t>DH mener</w:t>
      </w:r>
      <w:r>
        <w:rPr>
          <w:i/>
          <w:iCs/>
        </w:rPr>
        <w:t xml:space="preserve">, </w:t>
      </w:r>
      <w:r>
        <w:t>at d</w:t>
      </w:r>
      <w:r>
        <w:t xml:space="preserve">er er en del elever med handicap, der har brug for et forberedende tilbud for at kunne fortsætte i ungdomsuddannelse eller job. Desværre har FGU haft store opstartsvanskeligheder. Det er derfor godt, at der afsættes midler til at forbedre kvaliteten på FGU. </w:t>
      </w:r>
    </w:p>
    <w:p w:rsidR="00A0317F" w:rsidRDefault="00A0317F" w:rsidP="00A0317F">
      <w:pPr>
        <w:pStyle w:val="Overskrift3"/>
      </w:pPr>
      <w:bookmarkStart w:id="15" w:name="_Toc89769120"/>
      <w:r>
        <w:t>Taxameterløft til almene voksenuddannelser</w:t>
      </w:r>
      <w:bookmarkEnd w:id="15"/>
      <w:r>
        <w:t xml:space="preserve"> </w:t>
      </w:r>
    </w:p>
    <w:p w:rsidR="00A0317F" w:rsidRDefault="00A0317F" w:rsidP="00A0317F">
      <w:r>
        <w:t>De almene voksenuddannelser dækker over hf-enkeltfag, almen voksenuddannelse (AVU), forberedende voksenundervisning (FVU) og ordblindeundervisning (OBU) og udbydes bl.a. af voksenuddannelsescentrene (VUC). Det er et tilbud til voksne, der ønsker at forbedre deres kundskaber bl.a. med henblik på videre uddannelse. Aftalen giver de almene voksenuddannelser en forbedret økonomi i form af et taxameterløft, svarende til løftet til de gymnasiale fuldtidsuddannelser. Der afsættes 37 mio. kr. årligt i 2022-2024.</w:t>
      </w:r>
    </w:p>
    <w:p w:rsidR="00A0317F" w:rsidRDefault="00A0317F" w:rsidP="00A0317F">
      <w:pPr>
        <w:rPr>
          <w:i/>
          <w:iCs/>
        </w:rPr>
      </w:pPr>
    </w:p>
    <w:p w:rsidR="00A0317F" w:rsidRDefault="00A0317F" w:rsidP="00A0317F">
      <w:r>
        <w:rPr>
          <w:i/>
          <w:iCs/>
        </w:rPr>
        <w:t>DH mener</w:t>
      </w:r>
      <w:r>
        <w:rPr>
          <w:i/>
          <w:iCs/>
        </w:rPr>
        <w:t>,</w:t>
      </w:r>
      <w:r>
        <w:t xml:space="preserve"> </w:t>
      </w:r>
      <w:r>
        <w:t>at d</w:t>
      </w:r>
      <w:r>
        <w:t>er er en del unge og voksne med handicap, der har gavn af de almene voksenuddannelser. Der har været udfordringer med det økonomiske grundlag for VUC, og det er derfor positivt, at økonomien forbedres.</w:t>
      </w:r>
    </w:p>
    <w:p w:rsidR="00A0317F" w:rsidRDefault="00A0317F" w:rsidP="00A0317F">
      <w:pPr>
        <w:pStyle w:val="Overskrift3"/>
      </w:pPr>
      <w:bookmarkStart w:id="16" w:name="_Toc89769121"/>
      <w:r>
        <w:t>Kortlægning af udfordringer i PPR</w:t>
      </w:r>
      <w:bookmarkEnd w:id="16"/>
    </w:p>
    <w:p w:rsidR="00A0317F" w:rsidRDefault="00A0317F" w:rsidP="00A0317F">
      <w:r>
        <w:t>Der afsættes 3,0 mio. kr. i 2022 til kortlægning af mulige udfordringer i PPR. Udfordringerne dækker over fx fastholdelsesproblemer, områder med lange ventetider og muligheden for bedre videreuddannelsesmuligheder inden for pædagogisk psykologi. Fastholdelsesproblemerne og de lange ventetider kan føre til, at børns problemer forværres, og at flere indskrives til meget dyrere behandlingsforløb i børne- og ungdomspsykiatrien. En styrkelse af PPR bør blandt andet indgå i de kommende forhandlinger om en 10 års plan for psykiatrien. Med satspuljeaftalen på sundhedsområdet for 2019–2022 er der iværksat et udviklingsprojekt om en styrket indsats i PPR i forhold til at tilbyde lettere behandling af høj kvalitet. Som led heri er der igangsat en evaluering, der kan være afsæt for anbefalinger til bedste praksis ift. lettere behandlingstid i PPR i alle landets kommuner. Resultater fra evalueringen skal i videst muligt omfang afspejles i forhandlingerne om nævnte 10-års plan.</w:t>
      </w:r>
    </w:p>
    <w:p w:rsidR="00A0317F" w:rsidRDefault="00A0317F" w:rsidP="00A0317F"/>
    <w:p w:rsidR="00A0317F" w:rsidRDefault="00A0317F" w:rsidP="00A0317F">
      <w:r>
        <w:rPr>
          <w:i/>
          <w:iCs/>
        </w:rPr>
        <w:t>DH mener</w:t>
      </w:r>
      <w:r>
        <w:rPr>
          <w:i/>
          <w:iCs/>
        </w:rPr>
        <w:t xml:space="preserve">: </w:t>
      </w:r>
      <w:r>
        <w:t>PPR</w:t>
      </w:r>
      <w:r>
        <w:t xml:space="preserve"> bliver organiseret på meget forskellig vis i landets kommuner. Vi hører dog generelt fra mange forældre til børn med handicap, at PPR ikke i tilstrækkelig grad understøtter, at børn med handicap kan blive godt inkluderet i skolen og får den nødvendige hjælp i rette tide. Det er derfor meget positivt, at udfordringerne i PPR bliver undersøgt nærmere, da det forhåbentlig kan danne grundlag for et arbejdet med at styrke PPR.</w:t>
      </w:r>
    </w:p>
    <w:p w:rsidR="00A0317F" w:rsidRDefault="00A0317F" w:rsidP="00A0317F">
      <w:pPr>
        <w:pStyle w:val="Overskrift2"/>
      </w:pPr>
      <w:bookmarkStart w:id="17" w:name="_Toc89769122"/>
      <w:r>
        <w:t>Beskæftigelsesområdet</w:t>
      </w:r>
      <w:bookmarkEnd w:id="17"/>
      <w:r>
        <w:t xml:space="preserve"> </w:t>
      </w:r>
    </w:p>
    <w:p w:rsidR="00A0317F" w:rsidRDefault="00A0317F" w:rsidP="00A0317F">
      <w:pPr>
        <w:pStyle w:val="Overskrift3"/>
      </w:pPr>
      <w:bookmarkStart w:id="18" w:name="_Toc89769123"/>
      <w:r>
        <w:t>Pulje til ordblinde og læse- og skrivesvage</w:t>
      </w:r>
      <w:bookmarkEnd w:id="18"/>
    </w:p>
    <w:p w:rsidR="00A0317F" w:rsidRDefault="00A0317F" w:rsidP="00A0317F">
      <w:r>
        <w:t>Der afsættes midler til en ansøgningspulje, der har til formål at fastholde beskæftigede personer med ordblindhed og/eller læse- og skriveudfordringer på arbejdsmarkedet samt at hjælpe ledige personer med ordblindhed og/eller læse- og skriveudfordringer tættere på arbejdsmarkedet. Puljen administreres af Styrelsen for Arbejdsmarked og Rekruttering. Der afsættes 10 mio. kr. i 2022.</w:t>
      </w:r>
    </w:p>
    <w:p w:rsidR="00A0317F" w:rsidRDefault="00A0317F" w:rsidP="00A0317F">
      <w:pPr>
        <w:rPr>
          <w:i/>
          <w:iCs/>
        </w:rPr>
      </w:pPr>
    </w:p>
    <w:p w:rsidR="00A0317F" w:rsidRDefault="00A0317F" w:rsidP="00A0317F">
      <w:r>
        <w:rPr>
          <w:i/>
          <w:iCs/>
        </w:rPr>
        <w:t>DH mener</w:t>
      </w:r>
      <w:r>
        <w:rPr>
          <w:i/>
          <w:iCs/>
        </w:rPr>
        <w:t>,</w:t>
      </w:r>
      <w:r>
        <w:t xml:space="preserve"> </w:t>
      </w:r>
      <w:r>
        <w:t>at d</w:t>
      </w:r>
      <w:r>
        <w:t>et er et positivt initiativ.</w:t>
      </w:r>
    </w:p>
    <w:p w:rsidR="00A0317F" w:rsidRDefault="00A0317F" w:rsidP="00A0317F">
      <w:pPr>
        <w:pStyle w:val="Overskrift3"/>
      </w:pPr>
      <w:bookmarkStart w:id="19" w:name="_Toc89769124"/>
      <w:r>
        <w:t>Jobbanken</w:t>
      </w:r>
      <w:bookmarkEnd w:id="19"/>
    </w:p>
    <w:p w:rsidR="00A0317F" w:rsidRDefault="00A0317F" w:rsidP="00A0317F">
      <w:r>
        <w:t>Bevillingen til Jobbanken forhøjes for at understøtte virksomhedens formål med at integrere/reintegrere psykisk sårbare førtidspensionister på arbejdsmarkedet. Der afsættes 6,7 mio. kr. i 2023.</w:t>
      </w:r>
    </w:p>
    <w:p w:rsidR="00A0317F" w:rsidRDefault="00A0317F" w:rsidP="00A0317F">
      <w:pPr>
        <w:rPr>
          <w:i/>
          <w:iCs/>
        </w:rPr>
      </w:pPr>
    </w:p>
    <w:p w:rsidR="00A0317F" w:rsidRDefault="00A0317F" w:rsidP="00A0317F">
      <w:r>
        <w:rPr>
          <w:i/>
          <w:iCs/>
        </w:rPr>
        <w:t>DH mener</w:t>
      </w:r>
      <w:r>
        <w:rPr>
          <w:i/>
          <w:iCs/>
        </w:rPr>
        <w:t>,</w:t>
      </w:r>
      <w:r>
        <w:t xml:space="preserve"> </w:t>
      </w:r>
      <w:r>
        <w:t>at d</w:t>
      </w:r>
      <w:r>
        <w:t>et er et positivt initiativ.</w:t>
      </w:r>
    </w:p>
    <w:p w:rsidR="00A0317F" w:rsidRDefault="00A0317F" w:rsidP="00A0317F">
      <w:pPr>
        <w:pStyle w:val="Overskrift2"/>
      </w:pPr>
      <w:bookmarkStart w:id="20" w:name="_Toc89769125"/>
      <w:r>
        <w:t>Sundhedsområdet</w:t>
      </w:r>
      <w:bookmarkEnd w:id="20"/>
    </w:p>
    <w:p w:rsidR="00A0317F" w:rsidRPr="00A0317F" w:rsidRDefault="00A0317F" w:rsidP="00A0317F">
      <w:pPr>
        <w:pStyle w:val="Overskrift3"/>
      </w:pPr>
      <w:bookmarkStart w:id="21" w:name="_Toc89769126"/>
      <w:r w:rsidRPr="00A0317F">
        <w:t>Corona-vinterpakke</w:t>
      </w:r>
      <w:bookmarkEnd w:id="21"/>
    </w:p>
    <w:p w:rsidR="00A0317F" w:rsidRDefault="00A0317F" w:rsidP="00A0317F">
      <w:r>
        <w:t xml:space="preserve">1 mia. kr. til særlige midlertidige indsatser i vintermånederne i sygehusvæsenet, der kan bidrage til fremadrettet at styrke og understøtte aktiviteten samt fastholde sundhedspersonale. </w:t>
      </w:r>
    </w:p>
    <w:p w:rsidR="00A0317F" w:rsidRDefault="00A0317F" w:rsidP="00A0317F"/>
    <w:p w:rsidR="00A0317F" w:rsidRDefault="00A0317F" w:rsidP="00A0317F">
      <w:pPr>
        <w:rPr>
          <w:b/>
          <w:bCs/>
        </w:rPr>
      </w:pPr>
      <w:r>
        <w:rPr>
          <w:i/>
          <w:iCs/>
        </w:rPr>
        <w:t>DH mener</w:t>
      </w:r>
      <w:r>
        <w:rPr>
          <w:i/>
          <w:iCs/>
        </w:rPr>
        <w:t>,</w:t>
      </w:r>
      <w:r>
        <w:t xml:space="preserve"> at a</w:t>
      </w:r>
      <w:r>
        <w:t xml:space="preserve">flyste behandlinger og nedprioritering af andre sygdomsområder på baggrund af corona og personalemangel har store negative konsekvenser for mennesker med kronisk sygdom og handicap. Derfor er vi glade for, at der afsættes midler til at rette op på de store akutte udfordringer vores sundhedsvæsen står over for lige nu. </w:t>
      </w:r>
    </w:p>
    <w:p w:rsidR="00A0317F" w:rsidRPr="00A0317F" w:rsidRDefault="00A0317F" w:rsidP="00A0317F">
      <w:pPr>
        <w:pStyle w:val="Overskrift3"/>
        <w:rPr>
          <w:rStyle w:val="Overskrift3Tegn"/>
          <w:sz w:val="20"/>
        </w:rPr>
      </w:pPr>
      <w:bookmarkStart w:id="22" w:name="_Toc89769127"/>
      <w:r w:rsidRPr="00A0317F">
        <w:rPr>
          <w:rStyle w:val="Overskrift3Tegn"/>
          <w:sz w:val="20"/>
        </w:rPr>
        <w:t>Kortlægning af sociale tandplejeordninger</w:t>
      </w:r>
      <w:bookmarkEnd w:id="22"/>
    </w:p>
    <w:p w:rsidR="00A0317F" w:rsidRDefault="00A0317F" w:rsidP="00A0317F">
      <w:pPr>
        <w:rPr>
          <w:b/>
          <w:bCs/>
        </w:rPr>
      </w:pPr>
      <w:r>
        <w:t>K</w:t>
      </w:r>
      <w:r>
        <w:t xml:space="preserve">ortlægning af eksisterende ordninger i regi af sundhedsministeriet inden for den økonomiske ramme. </w:t>
      </w:r>
    </w:p>
    <w:p w:rsidR="00A0317F" w:rsidRDefault="00A0317F" w:rsidP="00A0317F">
      <w:pPr>
        <w:rPr>
          <w:i/>
          <w:iCs/>
        </w:rPr>
      </w:pPr>
    </w:p>
    <w:p w:rsidR="00A0317F" w:rsidRDefault="00A0317F" w:rsidP="00A0317F">
      <w:r>
        <w:rPr>
          <w:i/>
          <w:iCs/>
        </w:rPr>
        <w:t>DH mener</w:t>
      </w:r>
      <w:r>
        <w:rPr>
          <w:i/>
          <w:iCs/>
        </w:rPr>
        <w:t xml:space="preserve">, </w:t>
      </w:r>
      <w:r>
        <w:t>at d</w:t>
      </w:r>
      <w:r>
        <w:t xml:space="preserve">et er en god ide at få kortlagt de ordninger og barrierer der er på området – for der er ingen tvivl om, at mange mennesker med handicap og kroniske sygdomme i dag, ikke får den tandpleje de har behov for. Vi håber at kortlægningen munder ud i nogle konkrete initiativer, der sikrer langt bedre og lige adgang til gratis tandpleje til de mennesker, der har særligt behov. </w:t>
      </w:r>
    </w:p>
    <w:p w:rsidR="00A0317F" w:rsidRDefault="00A0317F" w:rsidP="00A0317F">
      <w:pPr>
        <w:pStyle w:val="Overskrift3"/>
      </w:pPr>
      <w:bookmarkStart w:id="23" w:name="_Toc89769128"/>
      <w:r>
        <w:t>Børn som pårørende</w:t>
      </w:r>
      <w:bookmarkEnd w:id="23"/>
      <w:r>
        <w:t xml:space="preserve"> </w:t>
      </w:r>
    </w:p>
    <w:p w:rsidR="00A0317F" w:rsidRDefault="00A0317F" w:rsidP="00A0317F">
      <w:r>
        <w:t>Der afsættes 5,0 mio. kr. årligt i perioden 2023-2025 til at styrke hjælpen til børn og unge, som er pårørende til forældre med somatisk sygdom, psykiske lidelse eller i familier med vold.</w:t>
      </w:r>
    </w:p>
    <w:p w:rsidR="00A0317F" w:rsidRDefault="00A0317F" w:rsidP="00A0317F">
      <w:pPr>
        <w:rPr>
          <w:b/>
          <w:bCs/>
        </w:rPr>
      </w:pPr>
    </w:p>
    <w:p w:rsidR="00A0317F" w:rsidRDefault="00A0317F" w:rsidP="00A0317F">
      <w:r>
        <w:rPr>
          <w:i/>
          <w:iCs/>
        </w:rPr>
        <w:t>DH mener</w:t>
      </w:r>
      <w:r>
        <w:rPr>
          <w:i/>
          <w:iCs/>
        </w:rPr>
        <w:t>,</w:t>
      </w:r>
      <w:r>
        <w:t xml:space="preserve"> </w:t>
      </w:r>
      <w:r>
        <w:t>at b</w:t>
      </w:r>
      <w:r>
        <w:t xml:space="preserve">ørn der vokser op i familier og som pårørende til mennesker med fysisk eller psykisk sygdom og handicap er særligt sårbare. Derfor er det vigtigt og godt at initiativet fortsætter. </w:t>
      </w:r>
    </w:p>
    <w:p w:rsidR="00A0317F" w:rsidRPr="00A0317F" w:rsidRDefault="00A0317F" w:rsidP="00A0317F"/>
    <w:sectPr w:rsidR="00A0317F" w:rsidRPr="00A0317F" w:rsidSect="00DB335E">
      <w:headerReference w:type="even" r:id="rId11"/>
      <w:headerReference w:type="default" r:id="rId12"/>
      <w:footerReference w:type="even" r:id="rId13"/>
      <w:footerReference w:type="default" r:id="rId14"/>
      <w:headerReference w:type="first" r:id="rId15"/>
      <w:footerReference w:type="first" r:id="rId16"/>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38" w:rsidRDefault="00523338">
      <w:pPr>
        <w:spacing w:line="240" w:lineRule="auto"/>
      </w:pPr>
      <w:r>
        <w:separator/>
      </w:r>
    </w:p>
  </w:endnote>
  <w:endnote w:type="continuationSeparator" w:id="0">
    <w:p w:rsidR="00523338" w:rsidRDefault="00523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D01DCB09-B4BB-40A5-A694-03241C25A3FA}"/>
    <w:embedBold r:id="rId2" w:fontKey="{C5A5396C-E919-4D30-A3F6-D9FFE47F1644}"/>
    <w:embedItalic r:id="rId3" w:fontKey="{0808F570-11F5-498C-888C-976A1DD698D7}"/>
    <w:embedBoldItalic r:id="rId4" w:fontKey="{8FB1D1F5-056F-446F-9427-9844CE67F037}"/>
  </w:font>
  <w:font w:name="Verdana">
    <w:panose1 w:val="020B0604030504040204"/>
    <w:charset w:val="00"/>
    <w:family w:val="swiss"/>
    <w:pitch w:val="variable"/>
    <w:sig w:usb0="A00006FF" w:usb1="4000205B" w:usb2="00000010" w:usb3="00000000" w:csb0="0000019F" w:csb1="00000000"/>
    <w:embedRegular r:id="rId5" w:fontKey="{33636A8D-7F9D-4760-8082-7324F69A02E3}"/>
    <w:embedBold r:id="rId6" w:fontKey="{29C5FF45-F4AC-4AC8-86D9-10DC05838082}"/>
    <w:embedItalic r:id="rId7" w:fontKey="{D8B93514-A603-4C08-8304-D702DBECC8D9}"/>
    <w:embedBoldItalic r:id="rId8" w:fontKey="{AE1A048F-385A-4A1B-9510-5538A2FF9976}"/>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pra Regular">
    <w:altName w:val="Microsoft Sans Serif"/>
    <w:panose1 w:val="00000000000000000000"/>
    <w:charset w:val="00"/>
    <w:family w:val="modern"/>
    <w:notTrueType/>
    <w:pitch w:val="variable"/>
    <w:sig w:usb0="A000002F" w:usb1="00000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DF" w:rsidRDefault="005C29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49" w:rsidRDefault="00523338" w:rsidP="00100249">
    <w:pPr>
      <w:pStyle w:val="Sidefod"/>
    </w:pPr>
    <w:r>
      <w:rPr>
        <w:noProof/>
        <w:lang w:eastAsia="da-DK"/>
      </w:rPr>
      <mc:AlternateContent>
        <mc:Choice Requires="wps">
          <w:drawing>
            <wp:anchor distT="0" distB="0" distL="114300" distR="114300" simplePos="0" relativeHeight="251660288" behindDoc="0" locked="0" layoutInCell="1" allowOverlap="1" wp14:anchorId="7E9F44FF" wp14:editId="7E9F4500">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100249" w:rsidRDefault="00523338"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662557">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662557">
                            <w:rPr>
                              <w:rStyle w:val="Sidetal"/>
                              <w:noProof/>
                            </w:rPr>
                            <w:t>4</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E9F44FF"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rsidR="00100249" w:rsidRDefault="00523338"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662557">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662557">
                      <w:rPr>
                        <w:rStyle w:val="Sidetal"/>
                        <w:noProof/>
                      </w:rPr>
                      <w:t>4</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5518DD" w:rsidTr="00A97F6A">
      <w:tc>
        <w:tcPr>
          <w:tcW w:w="10915" w:type="dxa"/>
          <w:hideMark/>
        </w:tcPr>
        <w:p w:rsidR="00A97F6A" w:rsidRDefault="00523338"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38" w:rsidRDefault="00523338">
      <w:pPr>
        <w:spacing w:line="240" w:lineRule="auto"/>
      </w:pPr>
      <w:r>
        <w:separator/>
      </w:r>
    </w:p>
  </w:footnote>
  <w:footnote w:type="continuationSeparator" w:id="0">
    <w:p w:rsidR="00523338" w:rsidRDefault="00523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DF" w:rsidRDefault="005C29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D8" w:rsidRDefault="00523338" w:rsidP="00F4074D">
    <w:pPr>
      <w:pStyle w:val="Sidehoved"/>
    </w:pPr>
    <w:r>
      <w:rPr>
        <w:noProof/>
        <w:lang w:eastAsia="da-DK"/>
      </w:rPr>
      <w:drawing>
        <wp:anchor distT="0" distB="0" distL="114300" distR="114300" simplePos="0" relativeHeight="251658240" behindDoc="0" locked="0" layoutInCell="1" allowOverlap="1" wp14:anchorId="7E9F4501" wp14:editId="7E9F4502">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7E9F4503" wp14:editId="7E9F4504">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0032BF"/>
    <w:rsid w:val="00004865"/>
    <w:rsid w:val="00016218"/>
    <w:rsid w:val="00022133"/>
    <w:rsid w:val="00022BE5"/>
    <w:rsid w:val="00075141"/>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32F9"/>
    <w:rsid w:val="004A5FFD"/>
    <w:rsid w:val="004A6D4D"/>
    <w:rsid w:val="004C01B2"/>
    <w:rsid w:val="004C027F"/>
    <w:rsid w:val="004C6440"/>
    <w:rsid w:val="004D35CC"/>
    <w:rsid w:val="004E0D0A"/>
    <w:rsid w:val="004E1AA9"/>
    <w:rsid w:val="004F09E8"/>
    <w:rsid w:val="004F1A28"/>
    <w:rsid w:val="004F1ED7"/>
    <w:rsid w:val="00502F76"/>
    <w:rsid w:val="005178A7"/>
    <w:rsid w:val="00523338"/>
    <w:rsid w:val="00543EF2"/>
    <w:rsid w:val="005518DD"/>
    <w:rsid w:val="0055617E"/>
    <w:rsid w:val="00561C72"/>
    <w:rsid w:val="00562862"/>
    <w:rsid w:val="00582AE7"/>
    <w:rsid w:val="00592544"/>
    <w:rsid w:val="005A28D4"/>
    <w:rsid w:val="005C29DF"/>
    <w:rsid w:val="005C3C9B"/>
    <w:rsid w:val="005C5F97"/>
    <w:rsid w:val="005C769C"/>
    <w:rsid w:val="005C776A"/>
    <w:rsid w:val="005F0175"/>
    <w:rsid w:val="005F1580"/>
    <w:rsid w:val="005F3ED8"/>
    <w:rsid w:val="005F6B57"/>
    <w:rsid w:val="00610412"/>
    <w:rsid w:val="006325AE"/>
    <w:rsid w:val="00637475"/>
    <w:rsid w:val="00655B49"/>
    <w:rsid w:val="00662557"/>
    <w:rsid w:val="00663A36"/>
    <w:rsid w:val="00674045"/>
    <w:rsid w:val="00674B15"/>
    <w:rsid w:val="00681D83"/>
    <w:rsid w:val="006900C2"/>
    <w:rsid w:val="00695E89"/>
    <w:rsid w:val="006B2AE2"/>
    <w:rsid w:val="006B30A9"/>
    <w:rsid w:val="006C2991"/>
    <w:rsid w:val="007008EE"/>
    <w:rsid w:val="0070267E"/>
    <w:rsid w:val="00704BA7"/>
    <w:rsid w:val="00706E32"/>
    <w:rsid w:val="007133C6"/>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3426"/>
    <w:rsid w:val="00844F6C"/>
    <w:rsid w:val="00863629"/>
    <w:rsid w:val="00873066"/>
    <w:rsid w:val="0087744F"/>
    <w:rsid w:val="008866FE"/>
    <w:rsid w:val="00892D08"/>
    <w:rsid w:val="00893791"/>
    <w:rsid w:val="00893E8F"/>
    <w:rsid w:val="008A6A4F"/>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C2069"/>
    <w:rsid w:val="009D1E80"/>
    <w:rsid w:val="009E4B94"/>
    <w:rsid w:val="009E6AD9"/>
    <w:rsid w:val="00A0317F"/>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4908"/>
    <w:rsid w:val="00D87C66"/>
    <w:rsid w:val="00D93F5F"/>
    <w:rsid w:val="00D96141"/>
    <w:rsid w:val="00DB31AF"/>
    <w:rsid w:val="00DB335E"/>
    <w:rsid w:val="00DC246F"/>
    <w:rsid w:val="00DC61BD"/>
    <w:rsid w:val="00DD1936"/>
    <w:rsid w:val="00DE2B28"/>
    <w:rsid w:val="00DF1260"/>
    <w:rsid w:val="00DF1EC4"/>
    <w:rsid w:val="00E10AC0"/>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44EF"/>
  <w15:docId w15:val="{B47F0BA4-2B01-4D61-8A91-ECA9C241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rsid w:val="00CC209F"/>
    <w:pPr>
      <w:spacing w:before="120"/>
    </w:pPr>
    <w:rPr>
      <w:rFonts w:asciiTheme="minorHAnsi" w:hAnsiTheme="minorHAnsi" w:cstheme="minorHAnsi"/>
      <w:b/>
      <w:bCs/>
      <w:i/>
      <w:iCs/>
      <w:sz w:val="24"/>
      <w:szCs w:val="24"/>
    </w:rPr>
  </w:style>
  <w:style w:type="paragraph" w:styleId="Indholdsfortegnelse2">
    <w:name w:val="toc 2"/>
    <w:basedOn w:val="Normal"/>
    <w:next w:val="Normal"/>
    <w:uiPriority w:val="39"/>
    <w:rsid w:val="00CC209F"/>
    <w:pPr>
      <w:spacing w:before="120"/>
      <w:ind w:left="200"/>
    </w:pPr>
    <w:rPr>
      <w:rFonts w:asciiTheme="minorHAnsi" w:hAnsiTheme="minorHAnsi" w:cstheme="minorHAnsi"/>
      <w:b/>
      <w:bCs/>
      <w:sz w:val="22"/>
      <w:szCs w:val="22"/>
    </w:rPr>
  </w:style>
  <w:style w:type="paragraph" w:styleId="Indholdsfortegnelse3">
    <w:name w:val="toc 3"/>
    <w:basedOn w:val="Normal"/>
    <w:next w:val="Normal"/>
    <w:uiPriority w:val="39"/>
    <w:rsid w:val="00CC209F"/>
    <w:pPr>
      <w:ind w:left="400"/>
    </w:pPr>
    <w:rPr>
      <w:rFonts w:asciiTheme="minorHAnsi" w:hAnsiTheme="minorHAnsi" w:cstheme="minorHAnsi"/>
    </w:rPr>
  </w:style>
  <w:style w:type="paragraph" w:styleId="Indholdsfortegnelse4">
    <w:name w:val="toc 4"/>
    <w:basedOn w:val="Normal"/>
    <w:next w:val="Normal"/>
    <w:uiPriority w:val="39"/>
    <w:semiHidden/>
    <w:rsid w:val="00CC209F"/>
    <w:pPr>
      <w:ind w:left="600"/>
    </w:pPr>
    <w:rPr>
      <w:rFonts w:asciiTheme="minorHAnsi" w:hAnsiTheme="minorHAnsi" w:cstheme="minorHAnsi"/>
    </w:rPr>
  </w:style>
  <w:style w:type="paragraph" w:styleId="Indholdsfortegnelse5">
    <w:name w:val="toc 5"/>
    <w:basedOn w:val="Normal"/>
    <w:next w:val="Normal"/>
    <w:uiPriority w:val="39"/>
    <w:semiHidden/>
    <w:rsid w:val="00CC209F"/>
    <w:pPr>
      <w:ind w:left="800"/>
    </w:pPr>
    <w:rPr>
      <w:rFonts w:asciiTheme="minorHAnsi" w:hAnsiTheme="minorHAnsi" w:cstheme="minorHAnsi"/>
    </w:rPr>
  </w:style>
  <w:style w:type="paragraph" w:styleId="Indholdsfortegnelse6">
    <w:name w:val="toc 6"/>
    <w:basedOn w:val="Normal"/>
    <w:next w:val="Normal"/>
    <w:uiPriority w:val="39"/>
    <w:semiHidden/>
    <w:rsid w:val="00CC209F"/>
    <w:pPr>
      <w:ind w:left="1000"/>
    </w:pPr>
    <w:rPr>
      <w:rFonts w:asciiTheme="minorHAnsi" w:hAnsiTheme="minorHAnsi" w:cstheme="minorHAnsi"/>
    </w:rPr>
  </w:style>
  <w:style w:type="paragraph" w:styleId="Indholdsfortegnelse7">
    <w:name w:val="toc 7"/>
    <w:basedOn w:val="Normal"/>
    <w:next w:val="Normal"/>
    <w:uiPriority w:val="39"/>
    <w:semiHidden/>
    <w:rsid w:val="00CC209F"/>
    <w:pPr>
      <w:ind w:left="1200"/>
    </w:pPr>
    <w:rPr>
      <w:rFonts w:asciiTheme="minorHAnsi" w:hAnsiTheme="minorHAnsi" w:cstheme="minorHAnsi"/>
    </w:rPr>
  </w:style>
  <w:style w:type="paragraph" w:styleId="Indholdsfortegnelse8">
    <w:name w:val="toc 8"/>
    <w:basedOn w:val="Normal"/>
    <w:next w:val="Normal"/>
    <w:uiPriority w:val="39"/>
    <w:semiHidden/>
    <w:rsid w:val="00CC209F"/>
    <w:pPr>
      <w:ind w:left="1400"/>
    </w:pPr>
    <w:rPr>
      <w:rFonts w:asciiTheme="minorHAnsi" w:hAnsiTheme="minorHAnsi" w:cstheme="minorHAnsi"/>
    </w:rPr>
  </w:style>
  <w:style w:type="paragraph" w:styleId="Indholdsfortegnelse9">
    <w:name w:val="toc 9"/>
    <w:basedOn w:val="Normal"/>
    <w:next w:val="Normal"/>
    <w:uiPriority w:val="39"/>
    <w:semiHidden/>
    <w:rsid w:val="00CC209F"/>
    <w:pPr>
      <w:ind w:left="1600"/>
    </w:pPr>
    <w:rPr>
      <w:rFonts w:asciiTheme="minorHAnsi" w:hAnsiTheme="minorHAnsi" w:cstheme="minorHAnsi"/>
    </w:rPr>
  </w:style>
  <w:style w:type="paragraph" w:styleId="Overskrift">
    <w:name w:val="TOC Heading"/>
    <w:basedOn w:val="Normal"/>
    <w:next w:val="Normal"/>
    <w:uiPriority w:val="39"/>
    <w:qFormat/>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075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214">
      <w:bodyDiv w:val="1"/>
      <w:marLeft w:val="0"/>
      <w:marRight w:val="0"/>
      <w:marTop w:val="0"/>
      <w:marBottom w:val="0"/>
      <w:divBdr>
        <w:top w:val="none" w:sz="0" w:space="0" w:color="auto"/>
        <w:left w:val="none" w:sz="0" w:space="0" w:color="auto"/>
        <w:bottom w:val="none" w:sz="0" w:space="0" w:color="auto"/>
        <w:right w:val="none" w:sz="0" w:space="0" w:color="auto"/>
      </w:divBdr>
    </w:div>
    <w:div w:id="627514003">
      <w:bodyDiv w:val="1"/>
      <w:marLeft w:val="0"/>
      <w:marRight w:val="0"/>
      <w:marTop w:val="0"/>
      <w:marBottom w:val="0"/>
      <w:divBdr>
        <w:top w:val="none" w:sz="0" w:space="0" w:color="auto"/>
        <w:left w:val="none" w:sz="0" w:space="0" w:color="auto"/>
        <w:bottom w:val="none" w:sz="0" w:space="0" w:color="auto"/>
        <w:right w:val="none" w:sz="0" w:space="0" w:color="auto"/>
      </w:divBdr>
    </w:div>
    <w:div w:id="1629974635">
      <w:bodyDiv w:val="1"/>
      <w:marLeft w:val="0"/>
      <w:marRight w:val="0"/>
      <w:marTop w:val="0"/>
      <w:marBottom w:val="0"/>
      <w:divBdr>
        <w:top w:val="none" w:sz="0" w:space="0" w:color="auto"/>
        <w:left w:val="none" w:sz="0" w:space="0" w:color="auto"/>
        <w:bottom w:val="none" w:sz="0" w:space="0" w:color="auto"/>
        <w:right w:val="none" w:sz="0" w:space="0" w:color="auto"/>
      </w:divBdr>
    </w:div>
    <w:div w:id="18926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5483CDE00140A5DD6C70ECF34C90" ma:contentTypeVersion="0" ma:contentTypeDescription="Create a new document." ma:contentTypeScope="" ma:versionID="2c94518f356f545dd1b554fb55ebc9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D2BA-D56D-4939-8770-754C9D436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1419A8-2AF6-4815-BE43-F95A3E204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35E27-D429-4062-9A96-04594BEFEDAC}">
  <ds:schemaRefs>
    <ds:schemaRef ds:uri="http://schemas.microsoft.com/sharepoint/v3/contenttype/forms"/>
  </ds:schemaRefs>
</ds:datastoreItem>
</file>

<file path=customXml/itemProps4.xml><?xml version="1.0" encoding="utf-8"?>
<ds:datastoreItem xmlns:ds="http://schemas.openxmlformats.org/officeDocument/2006/customXml" ds:itemID="{D62E0EE2-9C23-408A-9A45-0F531126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ny.dotx</Template>
  <TotalTime>26</TotalTime>
  <Pages>1</Pages>
  <Words>1558</Words>
  <Characters>9510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Anita Vium Jørgensen</cp:lastModifiedBy>
  <cp:revision>3</cp:revision>
  <dcterms:created xsi:type="dcterms:W3CDTF">2020-03-17T10:54:00Z</dcterms:created>
  <dcterms:modified xsi:type="dcterms:W3CDTF">2021-12-07T10:33:00Z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0x010100C9745483CDE00140A5DD6C70ECF34C90</vt:lpwstr>
  </property>
  <property fmtid="{D5CDD505-2E9C-101B-9397-08002B2CF9AE}" pid="3" name="TeamShareLastOpen">
    <vt:lpwstr>07-12-2021 11:09:03</vt:lpwstr>
  </property>
</Properties>
</file>