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257C94" w14:paraId="15331CA8" w14:textId="77777777" w:rsidTr="00260FC0">
        <w:trPr>
          <w:trHeight w:hRule="exact" w:val="3062"/>
        </w:trPr>
        <w:tc>
          <w:tcPr>
            <w:tcW w:w="7371" w:type="dxa"/>
          </w:tcPr>
          <w:p w14:paraId="15331CA5" w14:textId="77777777" w:rsidR="00655B49" w:rsidRDefault="00655B49" w:rsidP="00C75409">
            <w:pPr>
              <w:pStyle w:val="ModtagerAdresse"/>
            </w:pPr>
            <w:bookmarkStart w:id="0" w:name="Navn"/>
            <w:bookmarkEnd w:id="0"/>
          </w:p>
          <w:p w14:paraId="15331CA6" w14:textId="77777777" w:rsidR="008D4691" w:rsidRDefault="008D4691" w:rsidP="00C75409">
            <w:pPr>
              <w:pStyle w:val="ModtagerAdresse"/>
            </w:pPr>
            <w:bookmarkStart w:id="1" w:name="Adresse"/>
            <w:bookmarkEnd w:id="1"/>
          </w:p>
          <w:p w14:paraId="15331CA7" w14:textId="77777777" w:rsidR="008D4691" w:rsidRPr="00C75409" w:rsidRDefault="008A3110" w:rsidP="00C75409">
            <w:pPr>
              <w:pStyle w:val="ModtagerAdresse"/>
            </w:pPr>
            <w:bookmarkStart w:id="2" w:name="PostNr"/>
            <w:bookmarkEnd w:id="2"/>
            <w:r>
              <w:t xml:space="preserve"> </w:t>
            </w:r>
            <w:bookmarkStart w:id="3" w:name="By"/>
            <w:bookmarkEnd w:id="3"/>
          </w:p>
        </w:tc>
      </w:tr>
    </w:tbl>
    <w:p w14:paraId="15331CA9" w14:textId="39CE4C87" w:rsidR="006A09C5" w:rsidRPr="00DB6858" w:rsidRDefault="00B904CE" w:rsidP="00DB6858">
      <w:pPr>
        <w:pStyle w:val="Overskrift1"/>
      </w:pPr>
      <w:bookmarkStart w:id="4" w:name="Overskrift"/>
      <w:r>
        <w:t>H</w:t>
      </w:r>
      <w:r w:rsidR="008A3110">
        <w:t xml:space="preserve">øringssvar om </w:t>
      </w:r>
      <w:r w:rsidR="00183B11" w:rsidRPr="00183B11">
        <w:t>Behandlingsrådet</w:t>
      </w:r>
      <w:r w:rsidR="00183B11">
        <w:t xml:space="preserve">s </w:t>
      </w:r>
      <w:r w:rsidR="008A3110">
        <w:t>proces</w:t>
      </w:r>
      <w:r w:rsidR="00AA6452">
        <w:t xml:space="preserve">håndbog og </w:t>
      </w:r>
      <w:r w:rsidR="008A3110">
        <w:t>metoderamme</w:t>
      </w:r>
      <w:bookmarkEnd w:id="4"/>
    </w:p>
    <w:p w14:paraId="15331CAA" w14:textId="294FAC87" w:rsidR="002758E0" w:rsidRDefault="00AA6452" w:rsidP="004F1ED7">
      <w:pPr>
        <w:rPr>
          <w:rStyle w:val="Underoverskrift"/>
        </w:rPr>
      </w:pPr>
      <w:r>
        <w:rPr>
          <w:rStyle w:val="Underoverskrift"/>
        </w:rPr>
        <w:t>Indledning</w:t>
      </w:r>
    </w:p>
    <w:p w14:paraId="009BAEB8" w14:textId="77777777" w:rsidR="00183B11" w:rsidRDefault="00AA6452" w:rsidP="00AA6452">
      <w:r>
        <w:t xml:space="preserve">Tak for muligheden for at afgive høringssvar. Vi finder overordnet, at de to dokumenter er velegnede som rammer og vejledning for Rådets arbejde. </w:t>
      </w:r>
    </w:p>
    <w:p w14:paraId="46B90581" w14:textId="77777777" w:rsidR="00183B11" w:rsidRDefault="00183B11" w:rsidP="00AA6452"/>
    <w:p w14:paraId="7EE9FF52" w14:textId="60CB5E53" w:rsidR="004C73BC" w:rsidRDefault="00AA6452" w:rsidP="00AA6452">
      <w:r>
        <w:t xml:space="preserve">Det er også positivt, at nogle af vores bemærkninger i vores høringssvar </w:t>
      </w:r>
      <w:r w:rsidR="00183B11">
        <w:t xml:space="preserve">til den første version </w:t>
      </w:r>
      <w:r>
        <w:t xml:space="preserve">er imødekommet. </w:t>
      </w:r>
      <w:r w:rsidR="004C73BC">
        <w:t xml:space="preserve">Bl.a. at såvel personlige som mere almene patienterfaringer er relevante at dække i fagudvalgenes arbejde. </w:t>
      </w:r>
    </w:p>
    <w:p w14:paraId="1FC6C29D" w14:textId="6BB047B5" w:rsidR="004C73BC" w:rsidRDefault="004C73BC" w:rsidP="00AA6452"/>
    <w:p w14:paraId="64BBE542" w14:textId="3AD09B94" w:rsidR="004C73BC" w:rsidRDefault="004C73BC" w:rsidP="00AA6452">
      <w:r>
        <w:t xml:space="preserve">Der er </w:t>
      </w:r>
      <w:r w:rsidR="00183B11">
        <w:t xml:space="preserve">dog </w:t>
      </w:r>
      <w:r>
        <w:t xml:space="preserve">områder, som står svagere end i den første version. Det gælder ulighed og forskelle inden for patientpopulationer. </w:t>
      </w:r>
      <w:r w:rsidR="00183B11">
        <w:t xml:space="preserve">Det </w:t>
      </w:r>
      <w:r>
        <w:t xml:space="preserve">gælder </w:t>
      </w:r>
      <w:r w:rsidR="00183B11">
        <w:t xml:space="preserve">også </w:t>
      </w:r>
      <w:r>
        <w:t xml:space="preserve">fokus på tilgængelighed og tilpasning til de behov, mennesker med funktionsnedsættelse har. </w:t>
      </w:r>
    </w:p>
    <w:p w14:paraId="2CED8C36" w14:textId="3028BE66" w:rsidR="00897A93" w:rsidRDefault="00897A93" w:rsidP="00AA6452"/>
    <w:p w14:paraId="261D0D2C" w14:textId="36ABBB26" w:rsidR="00897A93" w:rsidRDefault="00897A93" w:rsidP="00AA6452">
      <w:r>
        <w:t>Muligvis kan noget af det gemme sig i tekster, som ikke er sendt i høring</w:t>
      </w:r>
      <w:r w:rsidR="00183B11">
        <w:t>, men disse forhold er så vigtige, at de bør have en stærkere på plads i proceshåndbog og metoderamme.</w:t>
      </w:r>
      <w:r>
        <w:t xml:space="preserve"> </w:t>
      </w:r>
    </w:p>
    <w:p w14:paraId="729A9DD1" w14:textId="3CBF8F39" w:rsidR="004C73BC" w:rsidRDefault="004C73BC" w:rsidP="00AA6452"/>
    <w:p w14:paraId="1BE65DD8" w14:textId="409678DA" w:rsidR="004C73BC" w:rsidRDefault="00183B11" w:rsidP="00AA6452">
      <w:r>
        <w:t>T</w:t>
      </w:r>
      <w:r w:rsidR="004C73BC">
        <w:t xml:space="preserve">ekstnære kommentarer følger nedenfor. </w:t>
      </w:r>
    </w:p>
    <w:p w14:paraId="4F6CD7C7" w14:textId="77777777" w:rsidR="004C73BC" w:rsidRPr="00AA6452" w:rsidRDefault="004C73BC" w:rsidP="00AA6452"/>
    <w:p w14:paraId="65834283" w14:textId="77777777" w:rsidR="00AA6452" w:rsidRPr="00716798" w:rsidRDefault="00AA6452" w:rsidP="00AA6452">
      <w:pPr>
        <w:rPr>
          <w:rStyle w:val="Underoverskrift"/>
        </w:rPr>
      </w:pPr>
      <w:r w:rsidRPr="00716798">
        <w:rPr>
          <w:rStyle w:val="Underoverskrift"/>
        </w:rPr>
        <w:t>Proceshåndbog:</w:t>
      </w:r>
    </w:p>
    <w:p w14:paraId="61A8D3C6" w14:textId="3B5C52BF" w:rsidR="004C73BC" w:rsidRPr="00716798" w:rsidRDefault="004C73BC" w:rsidP="00716798">
      <w:pPr>
        <w:pStyle w:val="Overskrift3"/>
        <w:rPr>
          <w:rStyle w:val="Underoverskrift"/>
          <w:b w:val="0"/>
          <w:sz w:val="22"/>
        </w:rPr>
      </w:pPr>
      <w:r w:rsidRPr="00716798">
        <w:rPr>
          <w:rStyle w:val="Underoverskrift"/>
          <w:b w:val="0"/>
          <w:sz w:val="22"/>
        </w:rPr>
        <w:t xml:space="preserve">Afsnit 2.2 </w:t>
      </w:r>
      <w:r w:rsidR="002D22B7" w:rsidRPr="00716798">
        <w:rPr>
          <w:rStyle w:val="Underoverskrift"/>
          <w:b w:val="0"/>
          <w:sz w:val="22"/>
        </w:rPr>
        <w:t>Behandlingsrådets fagudvalg</w:t>
      </w:r>
    </w:p>
    <w:p w14:paraId="7FE7D220" w14:textId="10ABF4F9" w:rsidR="00AA6452" w:rsidRDefault="00897A93" w:rsidP="00AA6452">
      <w:r>
        <w:t xml:space="preserve">Der står stadig, at der udpeges 1-2 </w:t>
      </w:r>
      <w:r w:rsidR="00AA6452" w:rsidRPr="00AA6452">
        <w:t>patientrepræsentanter</w:t>
      </w:r>
      <w:r w:rsidR="00183B11">
        <w:t xml:space="preserve">. </w:t>
      </w:r>
      <w:r w:rsidR="00AA6452" w:rsidRPr="00AA6452">
        <w:t xml:space="preserve">Vi ser gerne 2 </w:t>
      </w:r>
      <w:r>
        <w:t xml:space="preserve">repræsentanter </w:t>
      </w:r>
      <w:r w:rsidR="00AA6452" w:rsidRPr="00AA6452">
        <w:t xml:space="preserve">som absolut hovedregel. </w:t>
      </w:r>
      <w:r>
        <w:t xml:space="preserve">Det vil bl.a. gøre det muligt at dække </w:t>
      </w:r>
      <w:r w:rsidRPr="00897A93">
        <w:t>såvel personlige som mere almene patienterfaringer</w:t>
      </w:r>
      <w:r w:rsidR="005A67A0">
        <w:t>.</w:t>
      </w:r>
    </w:p>
    <w:p w14:paraId="40D79D35" w14:textId="77777777" w:rsidR="005A67A0" w:rsidRPr="00716798" w:rsidRDefault="005A67A0" w:rsidP="00716798">
      <w:pPr>
        <w:pStyle w:val="Overskrift3"/>
        <w:rPr>
          <w:rStyle w:val="Underoverskrift"/>
          <w:b w:val="0"/>
          <w:sz w:val="22"/>
        </w:rPr>
      </w:pPr>
      <w:r w:rsidRPr="00716798">
        <w:rPr>
          <w:rStyle w:val="Underoverskrift"/>
          <w:b w:val="0"/>
          <w:sz w:val="22"/>
        </w:rPr>
        <w:t>2.5. Behandlingsrådets genstandsfelt</w:t>
      </w:r>
    </w:p>
    <w:p w14:paraId="41E9D8AC" w14:textId="40FEC455" w:rsidR="005A67A0" w:rsidRDefault="005A67A0" w:rsidP="005A67A0">
      <w:r>
        <w:t>Det er alene r</w:t>
      </w:r>
      <w:r w:rsidRPr="005A67A0">
        <w:t>egioner, hospitalsledelser og virksomheder</w:t>
      </w:r>
      <w:r>
        <w:t xml:space="preserve">, der kan </w:t>
      </w:r>
      <w:r w:rsidRPr="005A67A0">
        <w:t xml:space="preserve">ansøge om at få en teknologi evalueret. </w:t>
      </w:r>
      <w:r>
        <w:t xml:space="preserve">Det er samme kreds som i det første udkast. </w:t>
      </w:r>
    </w:p>
    <w:p w14:paraId="67EC1D0E" w14:textId="77777777" w:rsidR="005A67A0" w:rsidRDefault="005A67A0" w:rsidP="005A67A0"/>
    <w:p w14:paraId="1B9E020A" w14:textId="07A04503" w:rsidR="005A67A0" w:rsidRDefault="005A67A0" w:rsidP="005A67A0">
      <w:r w:rsidRPr="005A67A0">
        <w:t xml:space="preserve">Vi </w:t>
      </w:r>
      <w:r>
        <w:t>ser gerne som tidligere skrevet</w:t>
      </w:r>
      <w:r w:rsidR="00DB1871">
        <w:t xml:space="preserve">, at </w:t>
      </w:r>
      <w:r>
        <w:t xml:space="preserve">en bredere kreds </w:t>
      </w:r>
      <w:r w:rsidR="00DB1871">
        <w:t>bør kunne</w:t>
      </w:r>
      <w:r>
        <w:t xml:space="preserve"> foreslå emner til evaluering</w:t>
      </w:r>
      <w:r w:rsidR="00DB1871">
        <w:t xml:space="preserve"> – herunder </w:t>
      </w:r>
      <w:r>
        <w:t>patient- og handicap-organisationer</w:t>
      </w:r>
      <w:r w:rsidR="00DB1871">
        <w:t xml:space="preserve">. </w:t>
      </w:r>
    </w:p>
    <w:p w14:paraId="34CF995C" w14:textId="77777777" w:rsidR="005A67A0" w:rsidRDefault="005A67A0" w:rsidP="005A67A0"/>
    <w:p w14:paraId="7843CDDC" w14:textId="6FBC7F77" w:rsidR="005A67A0" w:rsidRDefault="005A67A0" w:rsidP="005A67A0">
      <w:r>
        <w:lastRenderedPageBreak/>
        <w:t>I hvert fald bør der være en mulighed er at indlede en dialog med patient</w:t>
      </w:r>
      <w:r w:rsidR="00E42776">
        <w:t>- og handicap-organisationer o</w:t>
      </w:r>
      <w:r>
        <w:t xml:space="preserve">g andre interesserenter om forslag til emner. </w:t>
      </w:r>
    </w:p>
    <w:p w14:paraId="752E862F" w14:textId="619C2583" w:rsidR="005A67A0" w:rsidRDefault="005A67A0" w:rsidP="005A67A0"/>
    <w:p w14:paraId="3E5801EF" w14:textId="5DD39341" w:rsidR="00DB1871" w:rsidRPr="00DB1871" w:rsidRDefault="00DB1871" w:rsidP="005A67A0">
      <w:pPr>
        <w:rPr>
          <w:i/>
        </w:rPr>
      </w:pPr>
      <w:r w:rsidRPr="00DB1871">
        <w:rPr>
          <w:i/>
        </w:rPr>
        <w:t>Omkostningsneutralitet eller ej</w:t>
      </w:r>
    </w:p>
    <w:p w14:paraId="6DDEEF7B" w14:textId="77777777" w:rsidR="00E42776" w:rsidRDefault="005A67A0" w:rsidP="005A67A0">
      <w:r w:rsidRPr="005A67A0">
        <w:t xml:space="preserve">Virksomheder, der ansøger om evaluering af en sundhedsteknologi, skal kunne sandsynliggøre, at teknologien samlet set er omkostningsneutral eller -besparende. </w:t>
      </w:r>
    </w:p>
    <w:p w14:paraId="2A4C8EC2" w14:textId="77777777" w:rsidR="00E42776" w:rsidRDefault="00E42776" w:rsidP="005A67A0"/>
    <w:p w14:paraId="682B6816" w14:textId="77777777" w:rsidR="00E42776" w:rsidRDefault="00E42776" w:rsidP="00E42776">
      <w:r>
        <w:t>R</w:t>
      </w:r>
      <w:r w:rsidR="005A67A0" w:rsidRPr="005A67A0">
        <w:t>egioner og hospitalsledelser, der ansøger</w:t>
      </w:r>
      <w:r>
        <w:t>, skal redegøre for omkostningerne, men det er ikke et krav, at sundheds</w:t>
      </w:r>
      <w:r w:rsidRPr="00E42776">
        <w:t xml:space="preserve">teknologien </w:t>
      </w:r>
      <w:r>
        <w:t xml:space="preserve">skal være omkostningsneutral eller besparende. </w:t>
      </w:r>
    </w:p>
    <w:p w14:paraId="5448946D" w14:textId="77777777" w:rsidR="00E42776" w:rsidRDefault="00E42776" w:rsidP="00E42776"/>
    <w:p w14:paraId="71834DE0" w14:textId="5E0150F2" w:rsidR="00E42776" w:rsidRPr="00E42776" w:rsidRDefault="00B904CE" w:rsidP="00E42776">
      <w:r>
        <w:t>Det står nu klarere end i den forrige hørings</w:t>
      </w:r>
      <w:r w:rsidR="00E42776">
        <w:t xml:space="preserve">version. Vores holdning </w:t>
      </w:r>
      <w:r>
        <w:t xml:space="preserve">dog </w:t>
      </w:r>
      <w:r w:rsidR="00E42776">
        <w:t xml:space="preserve">er stadig, at </w:t>
      </w:r>
      <w:r>
        <w:t xml:space="preserve">også virksomheder bør have mulighed for at indsende ansøgninger om </w:t>
      </w:r>
      <w:r w:rsidR="00E42776" w:rsidRPr="00E42776">
        <w:t xml:space="preserve">teknologi, der </w:t>
      </w:r>
      <w:r w:rsidR="00E42776">
        <w:t xml:space="preserve">markant </w:t>
      </w:r>
      <w:r w:rsidR="00E42776" w:rsidRPr="00E42776">
        <w:t>fremmer patienters sundhed og livskvalitet</w:t>
      </w:r>
      <w:r w:rsidR="00E42776">
        <w:t xml:space="preserve">, også selv det kan være forbundet med flere omkostninger. </w:t>
      </w:r>
    </w:p>
    <w:p w14:paraId="02820738" w14:textId="77777777" w:rsidR="002D22B7" w:rsidRPr="002D22B7" w:rsidRDefault="002D22B7" w:rsidP="00716798">
      <w:pPr>
        <w:pStyle w:val="Overskrift3"/>
      </w:pPr>
      <w:r w:rsidRPr="002D22B7">
        <w:t>5.2. Udarbejdelse af evalueringsdesign</w:t>
      </w:r>
    </w:p>
    <w:p w14:paraId="63538FD9" w14:textId="77777777" w:rsidR="002D22B7" w:rsidRDefault="002D22B7" w:rsidP="002D22B7">
      <w:r>
        <w:t>Det fremgår, at n</w:t>
      </w:r>
      <w:r w:rsidRPr="002D22B7">
        <w:t>år fagudvalget har udarbejdet evalueringsdesignet, skal Rådsformanden på vegne af Rådet godkende dette</w:t>
      </w:r>
      <w:r>
        <w:t>.</w:t>
      </w:r>
      <w:r w:rsidRPr="002D22B7">
        <w:t xml:space="preserve"> Rådsformanden kan eventuelt uddelegere dette ansvar til andre rådsmedlemmer. </w:t>
      </w:r>
    </w:p>
    <w:p w14:paraId="017377B6" w14:textId="77777777" w:rsidR="002D22B7" w:rsidRDefault="002D22B7" w:rsidP="002D22B7"/>
    <w:p w14:paraId="3F8E083F" w14:textId="47F57853" w:rsidR="00186AF2" w:rsidRDefault="00186AF2" w:rsidP="002D22B7">
      <w:r>
        <w:t xml:space="preserve">På den ene side er hensigtsmæssigt med en smidig proces. På den anden side bør der være mulighed for de øvrige rådsmedlemmer at komme med bemærkninger til et udkast til evalueringsdesign for at sikre, at alle relevante perspektiver dækkes ind. </w:t>
      </w:r>
    </w:p>
    <w:p w14:paraId="74B3874C" w14:textId="3C300767" w:rsidR="00186AF2" w:rsidRPr="00186AF2" w:rsidRDefault="00186AF2" w:rsidP="00716798">
      <w:pPr>
        <w:pStyle w:val="Overskrift3"/>
      </w:pPr>
      <w:r>
        <w:t>5.5</w:t>
      </w:r>
      <w:r w:rsidRPr="00186AF2">
        <w:t xml:space="preserve"> </w:t>
      </w:r>
      <w:r>
        <w:t>Beslutning i Behandlingsrådet</w:t>
      </w:r>
    </w:p>
    <w:p w14:paraId="75995BE5" w14:textId="5F9AE545" w:rsidR="00186AF2" w:rsidRDefault="00267A97" w:rsidP="00186AF2">
      <w:r>
        <w:t>I det forrige høringsudkast blev der lagt op til, at a</w:t>
      </w:r>
      <w:r w:rsidR="00186AF2" w:rsidRPr="00186AF2">
        <w:t xml:space="preserve">nbefalinger fra Rådet </w:t>
      </w:r>
      <w:r>
        <w:t xml:space="preserve">kunne være </w:t>
      </w:r>
      <w:r w:rsidR="00186AF2" w:rsidRPr="00186AF2">
        <w:t xml:space="preserve">knyttet til nogle bestemte forudsætninger. Fx at der ved implementeringen af anbefalingen skal sættes fokus på lighed mellem forskellige typer patienter. </w:t>
      </w:r>
    </w:p>
    <w:p w14:paraId="545A5FCE" w14:textId="77C2CB38" w:rsidR="00E111C1" w:rsidRDefault="00E111C1" w:rsidP="00186AF2"/>
    <w:p w14:paraId="781678BD" w14:textId="50DD76C2" w:rsidR="00267A97" w:rsidRDefault="00267A97" w:rsidP="00186AF2">
      <w:r>
        <w:t>Men det fremgår ikke klart mere. Lighed er stadig en af de fire bærende værdier for Rådets arbejde, og der</w:t>
      </w:r>
      <w:r w:rsidR="00DB1871">
        <w:t>for</w:t>
      </w:r>
      <w:r>
        <w:t xml:space="preserve"> bør det fremgår tydeligere, at anbefalinger til implementeringen skal tage højde for, at der inden for patientgrupper kan være store forskelle. Der kan også være andre uligheds-aspekter, der bør tages højde for (geografisk ulighed </w:t>
      </w:r>
      <w:r w:rsidR="00DB1871">
        <w:t>o.l.</w:t>
      </w:r>
      <w:r>
        <w:t xml:space="preserve">). </w:t>
      </w:r>
    </w:p>
    <w:p w14:paraId="5B34105C" w14:textId="77777777" w:rsidR="00267A97" w:rsidRDefault="00267A97" w:rsidP="00186AF2"/>
    <w:p w14:paraId="1D653BA7" w14:textId="53E2F20F" w:rsidR="00DB1871" w:rsidRDefault="00DB1871" w:rsidP="00186AF2">
      <w:bookmarkStart w:id="5" w:name="_GoBack"/>
      <w:bookmarkEnd w:id="5"/>
      <w:r>
        <w:t xml:space="preserve">I evaluering og anbefaling af en teknologi skal der </w:t>
      </w:r>
      <w:r w:rsidR="00186AF2" w:rsidRPr="00186AF2">
        <w:t>tage</w:t>
      </w:r>
      <w:r>
        <w:t>s</w:t>
      </w:r>
      <w:r w:rsidR="00186AF2" w:rsidRPr="00186AF2">
        <w:t xml:space="preserve"> højde for særlige patientbehov, der </w:t>
      </w:r>
      <w:r>
        <w:t>følger af</w:t>
      </w:r>
      <w:r w:rsidR="00186AF2" w:rsidRPr="00186AF2">
        <w:t xml:space="preserve"> handicap og kronisk sygdom. </w:t>
      </w:r>
      <w:r w:rsidR="0075757C">
        <w:t>Vellykket b</w:t>
      </w:r>
      <w:r w:rsidR="00186AF2" w:rsidRPr="00186AF2">
        <w:t xml:space="preserve">ehandling af patienter med </w:t>
      </w:r>
      <w:r w:rsidR="0075757C">
        <w:t xml:space="preserve">fx </w:t>
      </w:r>
      <w:r w:rsidR="00186AF2" w:rsidRPr="00186AF2">
        <w:t xml:space="preserve">muskelsvind, døvhed eller udviklingshæmning </w:t>
      </w:r>
      <w:r w:rsidR="0075757C">
        <w:t xml:space="preserve">forudsætter </w:t>
      </w:r>
      <w:r w:rsidR="00186AF2" w:rsidRPr="00186AF2">
        <w:t xml:space="preserve">ofte specialviden. </w:t>
      </w:r>
    </w:p>
    <w:p w14:paraId="6A5669DC" w14:textId="77777777" w:rsidR="00DB1871" w:rsidRDefault="00DB1871" w:rsidP="00186AF2"/>
    <w:p w14:paraId="539E9CC4" w14:textId="57A3DC99" w:rsidR="00186AF2" w:rsidRPr="00186AF2" w:rsidRDefault="00186AF2" w:rsidP="00186AF2">
      <w:r w:rsidRPr="00186AF2">
        <w:t>Medicinsk udstyr er ikke altid tilpasset til de behov, patienter med handicap har</w:t>
      </w:r>
      <w:r w:rsidR="00DB1871">
        <w:t xml:space="preserve">. Fx </w:t>
      </w:r>
      <w:r w:rsidRPr="00186AF2">
        <w:t>kan mammografi-screeningsudstyr ikke altid benyttes til mennesker med fysiske handicap. Forhold som tilgængelighe</w:t>
      </w:r>
      <w:r w:rsidR="00DB1871">
        <w:t>d, behovet for r</w:t>
      </w:r>
      <w:r w:rsidRPr="00186AF2">
        <w:t>imelig tilpasning, håndtering af risiko</w:t>
      </w:r>
      <w:r w:rsidR="00DB1871">
        <w:t xml:space="preserve">en for at overse </w:t>
      </w:r>
      <w:r w:rsidRPr="00186AF2">
        <w:t>sygdom</w:t>
      </w:r>
      <w:r w:rsidR="00DB1871">
        <w:t xml:space="preserve"> i diagnosticeringen af personer med visse typer handicap</w:t>
      </w:r>
      <w:r w:rsidRPr="00186AF2">
        <w:t>, specialviden om handicap</w:t>
      </w:r>
      <w:r w:rsidR="00DB1871">
        <w:t xml:space="preserve"> af betydning for teknologiens rette anvendelse</w:t>
      </w:r>
      <w:r w:rsidRPr="00186AF2">
        <w:t>, særlige krav til kommunikation</w:t>
      </w:r>
      <w:r w:rsidR="00DB1871">
        <w:t xml:space="preserve"> og formidling</w:t>
      </w:r>
      <w:r w:rsidRPr="00186AF2">
        <w:t xml:space="preserve"> mv. bør derfor indgå.</w:t>
      </w:r>
    </w:p>
    <w:p w14:paraId="0C9AF2B7" w14:textId="39232B53" w:rsidR="00E111C1" w:rsidRDefault="00E111C1" w:rsidP="00267A97"/>
    <w:p w14:paraId="1541E58C" w14:textId="1AF0E1B6" w:rsidR="00E111C1" w:rsidRDefault="00DB1871" w:rsidP="00267A97">
      <w:r w:rsidRPr="00DB1871">
        <w:t xml:space="preserve">Behandlingsrådets anbefalinger af teknologier bør fremme sundhed for alle, herunder patienter med kronisk sygdom og handicap. </w:t>
      </w:r>
      <w:r w:rsidR="00E111C1">
        <w:t xml:space="preserve">Det skal være tænkt med fra starten, at de skal komme alle patienter til gavn, ikke bare de stærkeste. </w:t>
      </w:r>
    </w:p>
    <w:p w14:paraId="10FD768D" w14:textId="77777777" w:rsidR="008D10F9" w:rsidRDefault="008D10F9" w:rsidP="00267A97"/>
    <w:p w14:paraId="0B4F15D8" w14:textId="6903886C" w:rsidR="008D10F9" w:rsidRDefault="008D10F9" w:rsidP="008D10F9">
      <w:r w:rsidRPr="008D10F9">
        <w:lastRenderedPageBreak/>
        <w:t xml:space="preserve">DH opfordrer til, at Universelt Design-tilgangen (design-for-alle) gøres til et bærende princip i Rådets arbejde. Tilgangen betyder, at alle bygninger, miljøer, teknologier, produkter mv. skal designes, så de fra starten kan bruges af alle. </w:t>
      </w:r>
    </w:p>
    <w:p w14:paraId="47959171" w14:textId="77777777" w:rsidR="008D10F9" w:rsidRPr="008D10F9" w:rsidRDefault="008D10F9" w:rsidP="008D10F9"/>
    <w:p w14:paraId="4E98BD31" w14:textId="2BF2CE8D" w:rsidR="00E111C1" w:rsidRPr="00E111C1" w:rsidRDefault="00E111C1" w:rsidP="00E111C1">
      <w:r w:rsidRPr="00E111C1">
        <w:t>D</w:t>
      </w:r>
      <w:r>
        <w:t xml:space="preserve">H finder, at der </w:t>
      </w:r>
      <w:r w:rsidRPr="00E111C1">
        <w:t xml:space="preserve">bør laves en vejledning for hvordan specialviden, tilgængelighed, rimelig tilpasning, transport mv. inddrages. Den kan </w:t>
      </w:r>
      <w:r>
        <w:t>støtte ansøgere, fagudvalg</w:t>
      </w:r>
      <w:r w:rsidRPr="00E111C1">
        <w:t xml:space="preserve"> </w:t>
      </w:r>
      <w:r>
        <w:t xml:space="preserve">og </w:t>
      </w:r>
      <w:r w:rsidRPr="00E111C1">
        <w:t>Rådet</w:t>
      </w:r>
      <w:r>
        <w:t xml:space="preserve"> i deres arbejde</w:t>
      </w:r>
      <w:r w:rsidRPr="00E111C1">
        <w:t xml:space="preserve">. </w:t>
      </w:r>
    </w:p>
    <w:p w14:paraId="1A153252" w14:textId="70129B3C" w:rsidR="00E111C1" w:rsidRDefault="00E111C1" w:rsidP="00267A97"/>
    <w:p w14:paraId="6E47AAE1" w14:textId="77777777" w:rsidR="005A67DC" w:rsidRPr="005A67DC" w:rsidRDefault="005A67DC" w:rsidP="005A67DC">
      <w:pPr>
        <w:rPr>
          <w:rStyle w:val="Underoverskrift"/>
        </w:rPr>
      </w:pPr>
      <w:r w:rsidRPr="005A67DC">
        <w:rPr>
          <w:rStyle w:val="Underoverskrift"/>
        </w:rPr>
        <w:t>Metodevejledning</w:t>
      </w:r>
    </w:p>
    <w:p w14:paraId="45D6B6DE" w14:textId="77777777" w:rsidR="005A67DC" w:rsidRPr="00716798" w:rsidRDefault="005A67DC" w:rsidP="00716798">
      <w:pPr>
        <w:pStyle w:val="Overskrift3"/>
        <w:rPr>
          <w:rStyle w:val="Underoverskrift"/>
          <w:b w:val="0"/>
          <w:sz w:val="22"/>
        </w:rPr>
      </w:pPr>
      <w:r w:rsidRPr="00716798">
        <w:rPr>
          <w:rStyle w:val="Underoverskrift"/>
          <w:b w:val="0"/>
          <w:sz w:val="22"/>
        </w:rPr>
        <w:t>7.5 Patientperspektivet</w:t>
      </w:r>
    </w:p>
    <w:p w14:paraId="59322F60" w14:textId="77777777" w:rsidR="005A67DC" w:rsidRPr="005A67DC" w:rsidRDefault="005A67DC" w:rsidP="005A67DC">
      <w:r w:rsidRPr="005A67DC">
        <w:t xml:space="preserve">Metodevejledningen angiver rammer for inddragelse af patientperspektivet. Det står umiddelbart fornuftigt. </w:t>
      </w:r>
    </w:p>
    <w:p w14:paraId="75504FB6" w14:textId="77777777" w:rsidR="005A67DC" w:rsidRPr="005A67DC" w:rsidRDefault="005A67DC" w:rsidP="005A67DC"/>
    <w:p w14:paraId="250EF127" w14:textId="77777777" w:rsidR="005A67DC" w:rsidRPr="005A67DC" w:rsidRDefault="005A67DC" w:rsidP="005A67DC">
      <w:r w:rsidRPr="005A67DC">
        <w:t xml:space="preserve">Det er så op til fagudvalget at beskrive i evalueringsdesignet, hvilke aspekter af relevans for patienterne, ansøgeren skal belyse. Heri ligger en vigtig opgave. </w:t>
      </w:r>
    </w:p>
    <w:p w14:paraId="49463EB5" w14:textId="77777777" w:rsidR="005A67DC" w:rsidRPr="005A67DC" w:rsidRDefault="005A67DC" w:rsidP="005A67DC"/>
    <w:p w14:paraId="26E081EB" w14:textId="0D78DCA9" w:rsidR="005A67DC" w:rsidRPr="005A67DC" w:rsidRDefault="005A67DC" w:rsidP="005A67DC">
      <w:r w:rsidRPr="005A67DC">
        <w:t xml:space="preserve">DH ser gerne, at Rådet og sekretariatet løbende indsamler erfaringer med patientvinkler med henblik på kvalitetsudvikling af evalueringsdesignet.  </w:t>
      </w:r>
    </w:p>
    <w:p w14:paraId="0DE4D7E3" w14:textId="77777777" w:rsidR="005A67DC" w:rsidRPr="005A67DC" w:rsidRDefault="005A67DC" w:rsidP="005A67DC"/>
    <w:p w14:paraId="7D6CB63A" w14:textId="1939FE58" w:rsidR="005A67DC" w:rsidRPr="005A67DC" w:rsidRDefault="005A67DC" w:rsidP="005A67DC">
      <w:r w:rsidRPr="005A67DC">
        <w:t xml:space="preserve">Det skal understreges, at andre faktorer i evalueringsdesignet – herunder patientsikkerhed og effekt – naturligvis vis også er afgørende betydning for patienterne.  </w:t>
      </w:r>
    </w:p>
    <w:p w14:paraId="4E97CED3" w14:textId="77777777" w:rsidR="005A67DC" w:rsidRPr="00716798" w:rsidRDefault="005A67DC" w:rsidP="00716798">
      <w:pPr>
        <w:pStyle w:val="Overskrift3"/>
        <w:rPr>
          <w:rStyle w:val="Underoverskrift"/>
          <w:b w:val="0"/>
          <w:sz w:val="22"/>
        </w:rPr>
      </w:pPr>
      <w:r w:rsidRPr="00716798">
        <w:rPr>
          <w:rStyle w:val="Underoverskrift"/>
          <w:b w:val="0"/>
          <w:sz w:val="22"/>
        </w:rPr>
        <w:t>7.7.6 Perspektiv og omkostningsopgørelse</w:t>
      </w:r>
    </w:p>
    <w:p w14:paraId="30E642F4" w14:textId="77777777" w:rsidR="005A67DC" w:rsidRPr="005A67DC" w:rsidRDefault="005A67DC" w:rsidP="005A67DC">
      <w:r w:rsidRPr="005A67DC">
        <w:t>Det fremgår, at en ansøger skal lave en sundhedsøkonomisk analyse. Heri skal indgå omkostninger inden for alle berørte sektorer, heriblandt hospitaler, almen praksis, speciallægepraksis, apoteker, hjemmepleje, plejehjem og sundhedsplejersker, samt omkostninger til hjælpemidler. Ligeledes skal patientens og pårørendes behandlingsrelaterede omkostninger, i form af tidsforbrug, transportomkostninger og til receptpligtig medicin, inkluderes.</w:t>
      </w:r>
    </w:p>
    <w:p w14:paraId="0CA35D5D" w14:textId="77777777" w:rsidR="005A67DC" w:rsidRPr="005A67DC" w:rsidRDefault="005A67DC" w:rsidP="005A67DC"/>
    <w:p w14:paraId="55F0F4D6" w14:textId="5FC197E5" w:rsidR="005A67DC" w:rsidRPr="005A67DC" w:rsidRDefault="005A67DC" w:rsidP="005A67DC">
      <w:r w:rsidRPr="005A67DC">
        <w:t xml:space="preserve">Der er medtaget udgifter til hjemmepleje og hjælpemidler. DH mener, at </w:t>
      </w:r>
      <w:r w:rsidR="00153B7D">
        <w:t xml:space="preserve">der er andre udgifter inden for socialområdet, der også med fordel </w:t>
      </w:r>
      <w:r w:rsidRPr="005A67DC">
        <w:t xml:space="preserve">kan indgå. </w:t>
      </w:r>
    </w:p>
    <w:p w14:paraId="17ED86E4" w14:textId="77777777" w:rsidR="005A67DC" w:rsidRPr="00716798" w:rsidRDefault="005A67DC" w:rsidP="00716798">
      <w:pPr>
        <w:pStyle w:val="Overskrift3"/>
        <w:rPr>
          <w:rStyle w:val="Underoverskrift"/>
          <w:b w:val="0"/>
          <w:sz w:val="22"/>
        </w:rPr>
      </w:pPr>
      <w:r w:rsidRPr="00716798">
        <w:rPr>
          <w:rStyle w:val="Underoverskrift"/>
          <w:b w:val="0"/>
          <w:sz w:val="22"/>
        </w:rPr>
        <w:t>7.6 Organisatoriske implikationer, 8. Fagudvalgets evalueringsrapport og 9. Rådets anbefalinger</w:t>
      </w:r>
    </w:p>
    <w:p w14:paraId="0E5CA7CE" w14:textId="2D1CDDC0" w:rsidR="005A67DC" w:rsidRPr="005A67DC" w:rsidRDefault="005A67DC" w:rsidP="005A67DC">
      <w:r w:rsidRPr="005A67DC">
        <w:t>En række af bemærkningerne til proceshåndbogen er også relevante for metodevejledningen. Det gælder bemærkninger om stærkere fokus på lighed, herunder forskelle inden for patientgrupper, og vigtigheden af at tænke tilgængelighed med fo</w:t>
      </w:r>
      <w:r w:rsidR="008D10F9">
        <w:t xml:space="preserve">r handicap- og kronikergrupper, jf. afsnit 5.5 ovenfor. </w:t>
      </w:r>
    </w:p>
    <w:p w14:paraId="139E4E8C" w14:textId="77777777" w:rsidR="005A67DC" w:rsidRPr="005A67DC" w:rsidRDefault="005A67DC" w:rsidP="005A67DC"/>
    <w:p w14:paraId="3B3819FD" w14:textId="07A93844" w:rsidR="005A67DC" w:rsidRPr="005A67DC" w:rsidRDefault="005A67DC" w:rsidP="005A67DC">
      <w:r w:rsidRPr="005A67DC">
        <w:t xml:space="preserve">Det gælder, når ansøger redegør for organisatoriske forhold, der har betydning for, at teknologien skal rulles ud. Og det gælder, når fagudvalget og Rådet skal komme med anbefalinger til implementeringen. </w:t>
      </w:r>
    </w:p>
    <w:p w14:paraId="7249E389" w14:textId="77777777" w:rsidR="005A67DC" w:rsidRPr="005A67DC" w:rsidRDefault="005A67DC" w:rsidP="005A67DC"/>
    <w:p w14:paraId="17AAFCCD" w14:textId="77777777" w:rsidR="005A67DC" w:rsidRPr="005A67DC" w:rsidRDefault="005A67DC" w:rsidP="005A67DC"/>
    <w:p w14:paraId="15331CAF" w14:textId="77777777" w:rsidR="00094ABD" w:rsidRDefault="008A3110" w:rsidP="006900C2">
      <w:pPr>
        <w:keepNext/>
        <w:keepLines/>
      </w:pPr>
      <w:r>
        <w:lastRenderedPageBreak/>
        <w:t>Med venlig hilsen</w:t>
      </w:r>
    </w:p>
    <w:p w14:paraId="15331CB0" w14:textId="77777777" w:rsidR="00094ABD" w:rsidRDefault="00094ABD" w:rsidP="006900C2">
      <w:pPr>
        <w:keepNext/>
        <w:keepLines/>
      </w:pPr>
    </w:p>
    <w:p w14:paraId="15331CB1" w14:textId="77777777" w:rsidR="00094ABD" w:rsidRDefault="00094ABD" w:rsidP="006900C2">
      <w:pPr>
        <w:keepNext/>
        <w:keepLines/>
      </w:pPr>
    </w:p>
    <w:p w14:paraId="15331CB2" w14:textId="118ED20D" w:rsidR="00094ABD" w:rsidRDefault="00094ABD" w:rsidP="006900C2">
      <w:pPr>
        <w:keepNext/>
        <w:keepLines/>
      </w:pPr>
    </w:p>
    <w:p w14:paraId="2F1D05A1" w14:textId="77777777" w:rsidR="008D10F9" w:rsidRDefault="008D10F9" w:rsidP="006900C2">
      <w:pPr>
        <w:keepNext/>
        <w:keepLines/>
      </w:pPr>
    </w:p>
    <w:p w14:paraId="15331CB3" w14:textId="43D0BE6D" w:rsidR="007A5D34" w:rsidRDefault="008D10F9" w:rsidP="00F0783E">
      <w:pPr>
        <w:keepNext/>
        <w:keepLines/>
      </w:pPr>
      <w:r>
        <w:t>Thorkild Olesen, formand</w:t>
      </w:r>
    </w:p>
    <w:p w14:paraId="7107238B" w14:textId="39EB7D8A" w:rsidR="00AA6452" w:rsidRDefault="00AA6452" w:rsidP="00F0783E">
      <w:pPr>
        <w:keepNext/>
        <w:keepLines/>
      </w:pPr>
    </w:p>
    <w:p w14:paraId="1A3BDC4B" w14:textId="057EF5D4" w:rsidR="00AA6452" w:rsidRDefault="00AA6452" w:rsidP="00F0783E">
      <w:pPr>
        <w:keepNext/>
        <w:keepLines/>
      </w:pPr>
    </w:p>
    <w:p w14:paraId="72A96B8D" w14:textId="6890007F" w:rsidR="00AA6452" w:rsidRDefault="00AA6452" w:rsidP="00F0783E">
      <w:pPr>
        <w:keepNext/>
        <w:keepLines/>
      </w:pPr>
    </w:p>
    <w:sectPr w:rsidR="00AA6452" w:rsidSect="00E10AC0">
      <w:headerReference w:type="default" r:id="rId11"/>
      <w:footerReference w:type="default" r:id="rId12"/>
      <w:headerReference w:type="first" r:id="rId13"/>
      <w:footerReference w:type="first" r:id="rId14"/>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E0091" w14:textId="77777777" w:rsidR="00E60AFA" w:rsidRDefault="00E60AFA">
      <w:pPr>
        <w:spacing w:line="240" w:lineRule="auto"/>
      </w:pPr>
      <w:r>
        <w:separator/>
      </w:r>
    </w:p>
  </w:endnote>
  <w:endnote w:type="continuationSeparator" w:id="0">
    <w:p w14:paraId="7DCDEFAC" w14:textId="77777777" w:rsidR="00E60AFA" w:rsidRDefault="00E60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E4F2471B-E3D3-4720-90E5-48CD15D57E62}"/>
    <w:embedBold r:id="rId2" w:fontKey="{618978A1-3F5A-4525-8380-C6365A9C544B}"/>
    <w:embedItalic r:id="rId3" w:fontKey="{139E6DEA-E9A3-4ADE-B43F-C9AFB027E508}"/>
    <w:embedBoldItalic r:id="rId4" w:fontKey="{0DFBD044-E903-40A3-A770-4C77F1EFF061}"/>
  </w:font>
  <w:font w:name="Verdana">
    <w:panose1 w:val="020B0604030504040204"/>
    <w:charset w:val="00"/>
    <w:family w:val="swiss"/>
    <w:pitch w:val="variable"/>
    <w:sig w:usb0="A00006FF" w:usb1="4000205B" w:usb2="00000010" w:usb3="00000000" w:csb0="0000019F" w:csb1="00000000"/>
    <w:embedRegular r:id="rId5" w:fontKey="{860B2615-7D89-4C5D-847F-0F4A6C831C5F}"/>
    <w:embedBold r:id="rId6" w:fontKey="{993D03D6-C4CD-4AAF-84A6-453F4BA25582}"/>
    <w:embedItalic r:id="rId7" w:fontKey="{F9737066-3D6C-4C6D-9817-31B9B7076233}"/>
    <w:embedBoldItalic r:id="rId8" w:fontKey="{B59BF31C-29A4-4DF6-819A-A89298A5ECE1}"/>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1CB8" w14:textId="77777777" w:rsidR="00E9405E" w:rsidRDefault="008A3110">
    <w:pPr>
      <w:pStyle w:val="Sidefod"/>
    </w:pPr>
    <w:r>
      <w:rPr>
        <w:noProof/>
        <w:lang w:eastAsia="da-DK"/>
      </w:rPr>
      <mc:AlternateContent>
        <mc:Choice Requires="wps">
          <w:drawing>
            <wp:anchor distT="0" distB="0" distL="114300" distR="114300" simplePos="0" relativeHeight="251662336" behindDoc="0" locked="0" layoutInCell="1" allowOverlap="1" wp14:anchorId="15331CBE" wp14:editId="15331CBF">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5331CC6" w14:textId="3E59D1FF" w:rsidR="004F1A28" w:rsidRDefault="008A311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27235">
                            <w:rPr>
                              <w:rStyle w:val="Sidetal"/>
                              <w:noProof/>
                            </w:rPr>
                            <w:t>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27235">
                            <w:rPr>
                              <w:rStyle w:val="Sidetal"/>
                              <w:noProof/>
                            </w:rPr>
                            <w:t>4</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5331CB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15331CC6" w14:textId="3E59D1FF" w:rsidR="004F1A28" w:rsidRDefault="008A311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27235">
                      <w:rPr>
                        <w:rStyle w:val="Sidetal"/>
                        <w:noProof/>
                      </w:rPr>
                      <w:t>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27235">
                      <w:rPr>
                        <w:rStyle w:val="Sidetal"/>
                        <w:noProof/>
                      </w:rPr>
                      <w:t>4</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257C94" w14:paraId="15331CBC" w14:textId="77777777" w:rsidTr="00C62171">
      <w:tc>
        <w:tcPr>
          <w:tcW w:w="10915" w:type="dxa"/>
        </w:tcPr>
        <w:p w14:paraId="15331CBB" w14:textId="77777777" w:rsidR="0087744F" w:rsidRPr="00310FAA" w:rsidRDefault="008A3110"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15331CBD"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FA75" w14:textId="77777777" w:rsidR="00E60AFA" w:rsidRDefault="00E60AFA">
      <w:pPr>
        <w:spacing w:line="240" w:lineRule="auto"/>
      </w:pPr>
      <w:r>
        <w:separator/>
      </w:r>
    </w:p>
  </w:footnote>
  <w:footnote w:type="continuationSeparator" w:id="0">
    <w:p w14:paraId="4910A782" w14:textId="77777777" w:rsidR="00E60AFA" w:rsidRDefault="00E60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1CB5" w14:textId="77777777" w:rsidR="00022BE5" w:rsidRDefault="00022BE5" w:rsidP="00022BE5">
    <w:pPr>
      <w:pStyle w:val="Sidehoved"/>
    </w:pPr>
  </w:p>
  <w:p w14:paraId="15331CB6"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1CB9" w14:textId="77777777" w:rsidR="002762D8" w:rsidRDefault="008A3110" w:rsidP="00F4074D">
    <w:pPr>
      <w:pStyle w:val="Sidehoved"/>
    </w:pPr>
    <w:r>
      <w:rPr>
        <w:noProof/>
        <w:lang w:eastAsia="da-DK"/>
      </w:rPr>
      <w:drawing>
        <wp:anchor distT="0" distB="0" distL="114300" distR="114300" simplePos="0" relativeHeight="251660288" behindDoc="0" locked="0" layoutInCell="1" allowOverlap="1" wp14:anchorId="15331CC0" wp14:editId="15331CC1">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15331CC2" wp14:editId="15331CC3">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15331CBA" w14:textId="77777777" w:rsidR="008F4D20" w:rsidRPr="00F4074D" w:rsidRDefault="008A3110" w:rsidP="00F4074D">
    <w:pPr>
      <w:pStyle w:val="Sidehoved"/>
    </w:pPr>
    <w:r>
      <w:rPr>
        <w:noProof/>
        <w:lang w:eastAsia="da-DK"/>
      </w:rPr>
      <mc:AlternateContent>
        <mc:Choice Requires="wps">
          <w:drawing>
            <wp:anchor distT="0" distB="0" distL="360045" distR="0" simplePos="0" relativeHeight="251659264" behindDoc="0" locked="0" layoutInCell="1" allowOverlap="1" wp14:anchorId="15331CC4" wp14:editId="15331CC5">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257C94" w14:paraId="15331CCE" w14:textId="77777777" w:rsidTr="004D35CC">
                            <w:tc>
                              <w:tcPr>
                                <w:tcW w:w="1960" w:type="dxa"/>
                              </w:tcPr>
                              <w:p w14:paraId="15331CC7" w14:textId="77777777" w:rsidR="00244D70" w:rsidRPr="00244D70" w:rsidRDefault="008A3110" w:rsidP="00244D70">
                                <w:pPr>
                                  <w:pStyle w:val="Template-Adresse"/>
                                </w:pPr>
                                <w:r>
                                  <w:t>Blekinge Boulevard 2</w:t>
                                </w:r>
                              </w:p>
                              <w:p w14:paraId="15331CC8" w14:textId="77777777" w:rsidR="00244D70" w:rsidRPr="00244D70" w:rsidRDefault="008A3110" w:rsidP="00244D70">
                                <w:pPr>
                                  <w:pStyle w:val="Template-Adresse"/>
                                </w:pPr>
                                <w:r>
                                  <w:t>2630 Taastrup, Danmark</w:t>
                                </w:r>
                              </w:p>
                              <w:p w14:paraId="15331CC9" w14:textId="77777777" w:rsidR="00F0152B" w:rsidRPr="00244D70" w:rsidRDefault="008A3110" w:rsidP="00FC2BA0">
                                <w:pPr>
                                  <w:pStyle w:val="Template-Adresse"/>
                                </w:pPr>
                                <w:r>
                                  <w:t>Tlf.</w:t>
                                </w:r>
                                <w:r w:rsidR="004166DD">
                                  <w:t>:  +45 3675 1777</w:t>
                                </w:r>
                              </w:p>
                              <w:p w14:paraId="15331CCA" w14:textId="77777777" w:rsidR="00244D70" w:rsidRDefault="008A3110" w:rsidP="001542A8">
                                <w:pPr>
                                  <w:pStyle w:val="Template-Adresse"/>
                                </w:pPr>
                                <w:r>
                                  <w:t>dh@handicap</w:t>
                                </w:r>
                                <w:r w:rsidR="00FC2BA0">
                                  <w:t>.</w:t>
                                </w:r>
                                <w:r>
                                  <w:t>dk</w:t>
                                </w:r>
                              </w:p>
                              <w:p w14:paraId="15331CCB" w14:textId="77777777" w:rsidR="00F0152B" w:rsidRDefault="008A3110" w:rsidP="00182651">
                                <w:pPr>
                                  <w:pStyle w:val="Template-Adresse"/>
                                </w:pPr>
                                <w:r>
                                  <w:t>www.handicap.dk</w:t>
                                </w:r>
                              </w:p>
                              <w:p w14:paraId="15331CCC" w14:textId="77777777" w:rsidR="008D4691" w:rsidRDefault="008D4691" w:rsidP="00182651">
                                <w:pPr>
                                  <w:pStyle w:val="Template-Adresse"/>
                                </w:pPr>
                              </w:p>
                              <w:p w14:paraId="15331CCD" w14:textId="77777777" w:rsidR="00F0152B" w:rsidRPr="008D4691" w:rsidRDefault="008A3110" w:rsidP="00182651">
                                <w:pPr>
                                  <w:pStyle w:val="Template-Adresse"/>
                                  <w:rPr>
                                    <w:szCs w:val="16"/>
                                  </w:rPr>
                                </w:pPr>
                                <w:bookmarkStart w:id="6" w:name="Dato"/>
                                <w:r w:rsidRPr="008D4691">
                                  <w:rPr>
                                    <w:szCs w:val="16"/>
                                  </w:rPr>
                                  <w:t>08. maj 2021</w:t>
                                </w:r>
                                <w:bookmarkStart w:id="7" w:name="SagsID"/>
                                <w:bookmarkEnd w:id="6"/>
                                <w:r w:rsidRPr="008D4691">
                                  <w:rPr>
                                    <w:szCs w:val="16"/>
                                  </w:rPr>
                                  <w:t>17-2019-00725</w:t>
                                </w:r>
                                <w:bookmarkStart w:id="8" w:name="DokID"/>
                                <w:bookmarkEnd w:id="7"/>
                                <w:r w:rsidRPr="008D4691">
                                  <w:rPr>
                                    <w:szCs w:val="16"/>
                                  </w:rPr>
                                  <w:t>535477</w:t>
                                </w:r>
                                <w:bookmarkEnd w:id="8"/>
                              </w:p>
                            </w:tc>
                          </w:tr>
                        </w:tbl>
                        <w:p w14:paraId="15331CC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5331CC4"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257C94" w14:paraId="15331CCE" w14:textId="77777777" w:rsidTr="004D35CC">
                      <w:tc>
                        <w:tcPr>
                          <w:tcW w:w="1960" w:type="dxa"/>
                        </w:tcPr>
                        <w:p w14:paraId="15331CC7" w14:textId="77777777" w:rsidR="00244D70" w:rsidRPr="00244D70" w:rsidRDefault="008A3110" w:rsidP="00244D70">
                          <w:pPr>
                            <w:pStyle w:val="Template-Adresse"/>
                          </w:pPr>
                          <w:r>
                            <w:t>Blekinge Boulevard 2</w:t>
                          </w:r>
                        </w:p>
                        <w:p w14:paraId="15331CC8" w14:textId="77777777" w:rsidR="00244D70" w:rsidRPr="00244D70" w:rsidRDefault="008A3110" w:rsidP="00244D70">
                          <w:pPr>
                            <w:pStyle w:val="Template-Adresse"/>
                          </w:pPr>
                          <w:r>
                            <w:t>2630 Taastrup, Danmark</w:t>
                          </w:r>
                        </w:p>
                        <w:p w14:paraId="15331CC9" w14:textId="77777777" w:rsidR="00F0152B" w:rsidRPr="00244D70" w:rsidRDefault="008A3110" w:rsidP="00FC2BA0">
                          <w:pPr>
                            <w:pStyle w:val="Template-Adresse"/>
                          </w:pPr>
                          <w:r>
                            <w:t>Tlf.</w:t>
                          </w:r>
                          <w:r w:rsidR="004166DD">
                            <w:t>:  +45 3675 1777</w:t>
                          </w:r>
                        </w:p>
                        <w:p w14:paraId="15331CCA" w14:textId="77777777" w:rsidR="00244D70" w:rsidRDefault="008A3110" w:rsidP="001542A8">
                          <w:pPr>
                            <w:pStyle w:val="Template-Adresse"/>
                          </w:pPr>
                          <w:r>
                            <w:t>dh@handicap</w:t>
                          </w:r>
                          <w:r w:rsidR="00FC2BA0">
                            <w:t>.</w:t>
                          </w:r>
                          <w:r>
                            <w:t>dk</w:t>
                          </w:r>
                        </w:p>
                        <w:p w14:paraId="15331CCB" w14:textId="77777777" w:rsidR="00F0152B" w:rsidRDefault="008A3110" w:rsidP="00182651">
                          <w:pPr>
                            <w:pStyle w:val="Template-Adresse"/>
                          </w:pPr>
                          <w:r>
                            <w:t>www.handicap.dk</w:t>
                          </w:r>
                        </w:p>
                        <w:p w14:paraId="15331CCC" w14:textId="77777777" w:rsidR="008D4691" w:rsidRDefault="008D4691" w:rsidP="00182651">
                          <w:pPr>
                            <w:pStyle w:val="Template-Adresse"/>
                          </w:pPr>
                        </w:p>
                        <w:p w14:paraId="15331CCD" w14:textId="77777777" w:rsidR="00F0152B" w:rsidRPr="008D4691" w:rsidRDefault="008A3110" w:rsidP="00182651">
                          <w:pPr>
                            <w:pStyle w:val="Template-Adresse"/>
                            <w:rPr>
                              <w:szCs w:val="16"/>
                            </w:rPr>
                          </w:pPr>
                          <w:bookmarkStart w:id="9" w:name="Dato"/>
                          <w:r w:rsidRPr="008D4691">
                            <w:rPr>
                              <w:szCs w:val="16"/>
                            </w:rPr>
                            <w:t>08. maj 2021</w:t>
                          </w:r>
                          <w:bookmarkStart w:id="10" w:name="SagsID"/>
                          <w:bookmarkEnd w:id="9"/>
                          <w:r w:rsidRPr="008D4691">
                            <w:rPr>
                              <w:szCs w:val="16"/>
                            </w:rPr>
                            <w:t>17-2019-00725</w:t>
                          </w:r>
                          <w:bookmarkStart w:id="11" w:name="DokID"/>
                          <w:bookmarkEnd w:id="10"/>
                          <w:r w:rsidRPr="008D4691">
                            <w:rPr>
                              <w:szCs w:val="16"/>
                            </w:rPr>
                            <w:t>535477</w:t>
                          </w:r>
                          <w:bookmarkEnd w:id="11"/>
                        </w:p>
                      </w:tc>
                    </w:tr>
                  </w:tbl>
                  <w:p w14:paraId="15331CCF"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6318CF"/>
    <w:multiLevelType w:val="hybridMultilevel"/>
    <w:tmpl w:val="0CDC9F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58572ED"/>
    <w:multiLevelType w:val="hybridMultilevel"/>
    <w:tmpl w:val="92B48D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1492"/>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3B7D"/>
    <w:rsid w:val="0015406F"/>
    <w:rsid w:val="001542A8"/>
    <w:rsid w:val="00182651"/>
    <w:rsid w:val="00183B11"/>
    <w:rsid w:val="00186AF2"/>
    <w:rsid w:val="00196791"/>
    <w:rsid w:val="001A2318"/>
    <w:rsid w:val="001B5BA9"/>
    <w:rsid w:val="001C147D"/>
    <w:rsid w:val="001F566D"/>
    <w:rsid w:val="00206D61"/>
    <w:rsid w:val="00216CB8"/>
    <w:rsid w:val="00216E82"/>
    <w:rsid w:val="002415B1"/>
    <w:rsid w:val="00244D70"/>
    <w:rsid w:val="00257C94"/>
    <w:rsid w:val="00260FC0"/>
    <w:rsid w:val="002662AD"/>
    <w:rsid w:val="00267A97"/>
    <w:rsid w:val="00271383"/>
    <w:rsid w:val="00273CAC"/>
    <w:rsid w:val="002751CE"/>
    <w:rsid w:val="002758E0"/>
    <w:rsid w:val="002762D8"/>
    <w:rsid w:val="002B7464"/>
    <w:rsid w:val="002C394F"/>
    <w:rsid w:val="002C5297"/>
    <w:rsid w:val="002C64DC"/>
    <w:rsid w:val="002D22B7"/>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27235"/>
    <w:rsid w:val="00436CBB"/>
    <w:rsid w:val="004558DD"/>
    <w:rsid w:val="00472153"/>
    <w:rsid w:val="00474D8B"/>
    <w:rsid w:val="004939C4"/>
    <w:rsid w:val="004A5FFD"/>
    <w:rsid w:val="004A6D4D"/>
    <w:rsid w:val="004C01B2"/>
    <w:rsid w:val="004C73BC"/>
    <w:rsid w:val="004D35CC"/>
    <w:rsid w:val="004E1AA9"/>
    <w:rsid w:val="004F1A28"/>
    <w:rsid w:val="004F1ED7"/>
    <w:rsid w:val="005178A7"/>
    <w:rsid w:val="00543B63"/>
    <w:rsid w:val="00543EF2"/>
    <w:rsid w:val="00561C72"/>
    <w:rsid w:val="00566BD8"/>
    <w:rsid w:val="00582AE7"/>
    <w:rsid w:val="005A28D4"/>
    <w:rsid w:val="005A67A0"/>
    <w:rsid w:val="005A67DC"/>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16798"/>
    <w:rsid w:val="007527B6"/>
    <w:rsid w:val="007546AF"/>
    <w:rsid w:val="00756883"/>
    <w:rsid w:val="0075757C"/>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50CBF"/>
    <w:rsid w:val="0087744F"/>
    <w:rsid w:val="00885E3C"/>
    <w:rsid w:val="008866FE"/>
    <w:rsid w:val="00892D08"/>
    <w:rsid w:val="00893791"/>
    <w:rsid w:val="00897A93"/>
    <w:rsid w:val="008A3110"/>
    <w:rsid w:val="008A318C"/>
    <w:rsid w:val="008A6A4F"/>
    <w:rsid w:val="008D10F9"/>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4E87"/>
    <w:rsid w:val="00AA6452"/>
    <w:rsid w:val="00AB4582"/>
    <w:rsid w:val="00AD5F89"/>
    <w:rsid w:val="00AF1D02"/>
    <w:rsid w:val="00B00D92"/>
    <w:rsid w:val="00B0422A"/>
    <w:rsid w:val="00B06E2B"/>
    <w:rsid w:val="00B20C54"/>
    <w:rsid w:val="00B24E70"/>
    <w:rsid w:val="00B52EA4"/>
    <w:rsid w:val="00B539F7"/>
    <w:rsid w:val="00B80BC6"/>
    <w:rsid w:val="00B904CE"/>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1871"/>
    <w:rsid w:val="00DB31AF"/>
    <w:rsid w:val="00DB6858"/>
    <w:rsid w:val="00DC246F"/>
    <w:rsid w:val="00DC61BD"/>
    <w:rsid w:val="00DD1936"/>
    <w:rsid w:val="00DE2B28"/>
    <w:rsid w:val="00DE2EB8"/>
    <w:rsid w:val="00E10AC0"/>
    <w:rsid w:val="00E111C1"/>
    <w:rsid w:val="00E42776"/>
    <w:rsid w:val="00E53EE9"/>
    <w:rsid w:val="00E60AFA"/>
    <w:rsid w:val="00E91524"/>
    <w:rsid w:val="00E9405E"/>
    <w:rsid w:val="00EC0495"/>
    <w:rsid w:val="00ED5310"/>
    <w:rsid w:val="00ED6EC5"/>
    <w:rsid w:val="00EF0CBE"/>
    <w:rsid w:val="00EF251A"/>
    <w:rsid w:val="00F0152B"/>
    <w:rsid w:val="00F04788"/>
    <w:rsid w:val="00F0783E"/>
    <w:rsid w:val="00F233E7"/>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1CA5"/>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3391">
      <w:bodyDiv w:val="1"/>
      <w:marLeft w:val="0"/>
      <w:marRight w:val="0"/>
      <w:marTop w:val="0"/>
      <w:marBottom w:val="0"/>
      <w:divBdr>
        <w:top w:val="none" w:sz="0" w:space="0" w:color="auto"/>
        <w:left w:val="none" w:sz="0" w:space="0" w:color="auto"/>
        <w:bottom w:val="none" w:sz="0" w:space="0" w:color="auto"/>
        <w:right w:val="none" w:sz="0" w:space="0" w:color="auto"/>
      </w:divBdr>
    </w:div>
    <w:div w:id="779488949">
      <w:bodyDiv w:val="1"/>
      <w:marLeft w:val="0"/>
      <w:marRight w:val="0"/>
      <w:marTop w:val="0"/>
      <w:marBottom w:val="0"/>
      <w:divBdr>
        <w:top w:val="none" w:sz="0" w:space="0" w:color="auto"/>
        <w:left w:val="none" w:sz="0" w:space="0" w:color="auto"/>
        <w:bottom w:val="none" w:sz="0" w:space="0" w:color="auto"/>
        <w:right w:val="none" w:sz="0" w:space="0" w:color="auto"/>
      </w:divBdr>
    </w:div>
    <w:div w:id="1195116966">
      <w:bodyDiv w:val="1"/>
      <w:marLeft w:val="0"/>
      <w:marRight w:val="0"/>
      <w:marTop w:val="0"/>
      <w:marBottom w:val="0"/>
      <w:divBdr>
        <w:top w:val="none" w:sz="0" w:space="0" w:color="auto"/>
        <w:left w:val="none" w:sz="0" w:space="0" w:color="auto"/>
        <w:bottom w:val="none" w:sz="0" w:space="0" w:color="auto"/>
        <w:right w:val="none" w:sz="0" w:space="0" w:color="auto"/>
      </w:divBdr>
    </w:div>
    <w:div w:id="15043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A759F56A8F14AB2FAC53DC4F6F019" ma:contentTypeVersion="0" ma:contentTypeDescription="Create a new document." ma:contentTypeScope="" ma:versionID="a4fe735a38a3491e9e46a6c5ec21a9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0817-E3D9-40FF-A6AA-EAFC8DF8ED9B}">
  <ds:schemaRefs>
    <ds:schemaRef ds:uri="http://schemas.microsoft.com/sharepoint/v3/contenttype/forms"/>
  </ds:schemaRefs>
</ds:datastoreItem>
</file>

<file path=customXml/itemProps2.xml><?xml version="1.0" encoding="utf-8"?>
<ds:datastoreItem xmlns:ds="http://schemas.openxmlformats.org/officeDocument/2006/customXml" ds:itemID="{77B889A8-AC08-4ADD-B0FD-C0FABA95B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91A19-FE55-4321-92B4-E6D2F6552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5BC687-142F-49EB-82CD-EC74375E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4</Pages>
  <Words>944</Words>
  <Characters>5762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2019-07-03T07:32:00Z</cp:lastPrinted>
  <dcterms:created xsi:type="dcterms:W3CDTF">2021-05-10T15:47:00Z</dcterms:created>
  <dcterms:modified xsi:type="dcterms:W3CDTF">2021-05-10T15:47:00Z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0x010100F9BA759F56A8F14AB2FAC53DC4F6F019</vt:lpwstr>
  </property>
  <property fmtid="{D5CDD505-2E9C-101B-9397-08002B2CF9AE}" pid="3" name="TeamShareLastOpen">
    <vt:lpwstr>10-05-2021 17:08:29</vt:lpwstr>
  </property>
</Properties>
</file>