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Blank"/>
        <w:tblpPr w:vertAnchor="page" w:horzAnchor="margin" w:tblpY="540"/>
        <w:tblW w:w="6804" w:type="dxa"/>
        <w:tblLayout w:type="fixed"/>
        <w:tblLook w:val="0600" w:firstRow="0" w:lastRow="0" w:firstColumn="0" w:lastColumn="0" w:noHBand="1" w:noVBand="1"/>
      </w:tblPr>
      <w:tblGrid>
        <w:gridCol w:w="6804"/>
      </w:tblGrid>
      <w:tr w:rsidR="00CB1FD6" w14:paraId="78D51735" w14:textId="77777777" w:rsidTr="00AA0D2C">
        <w:trPr>
          <w:trHeight w:hRule="exact" w:val="737"/>
        </w:trPr>
        <w:tc>
          <w:tcPr>
            <w:tcW w:w="7230" w:type="dxa"/>
          </w:tcPr>
          <w:p w14:paraId="78D51733" w14:textId="77777777" w:rsidR="000C4FB1" w:rsidRDefault="00491F5E" w:rsidP="00AA0D2C">
            <w:pPr>
              <w:pStyle w:val="Header-info"/>
              <w:framePr w:wrap="auto" w:vAnchor="margin" w:hAnchor="text" w:yAlign="inline"/>
            </w:pPr>
            <w:bookmarkStart w:id="0" w:name="_GoBack"/>
            <w:bookmarkEnd w:id="0"/>
            <w:r>
              <w:t xml:space="preserve">Dokument oprettet </w:t>
            </w:r>
            <w:bookmarkStart w:id="1" w:name="Dato"/>
            <w:r w:rsidR="009C0F26">
              <w:t>04. januar 2021</w:t>
            </w:r>
            <w:bookmarkEnd w:id="1"/>
          </w:p>
          <w:p w14:paraId="78D51734" w14:textId="77777777" w:rsidR="00333E52" w:rsidRPr="00244D70" w:rsidRDefault="00491F5E" w:rsidP="009C0F26">
            <w:pPr>
              <w:pStyle w:val="Header-info"/>
              <w:framePr w:wrap="auto" w:vAnchor="margin" w:hAnchor="text" w:yAlign="inline"/>
            </w:pPr>
            <w:r>
              <w:t xml:space="preserve">Sag </w:t>
            </w:r>
            <w:bookmarkStart w:id="2" w:name="SagsID"/>
            <w:r w:rsidR="009C0F26">
              <w:t>16-2020-01054</w:t>
            </w:r>
            <w:bookmarkEnd w:id="2"/>
            <w:r>
              <w:t xml:space="preserve"> – Dok. </w:t>
            </w:r>
            <w:bookmarkStart w:id="3" w:name="DokID"/>
            <w:r w:rsidR="009C0F26">
              <w:t>516196</w:t>
            </w:r>
            <w:bookmarkEnd w:id="3"/>
          </w:p>
        </w:tc>
      </w:tr>
    </w:tbl>
    <w:p w14:paraId="78D51736" w14:textId="3A07F1DC" w:rsidR="00DB335E" w:rsidRDefault="006903F7" w:rsidP="00502F76">
      <w:pPr>
        <w:pStyle w:val="Overskrift1"/>
      </w:pPr>
      <w:r>
        <w:t>Gennemga</w:t>
      </w:r>
      <w:r w:rsidR="00D577CE">
        <w:t>ng af forslag til Finanslov 2022</w:t>
      </w:r>
    </w:p>
    <w:p w14:paraId="60EABC86" w14:textId="6B86836A" w:rsidR="006705BE" w:rsidRDefault="006903F7" w:rsidP="006903F7">
      <w:pPr>
        <w:pStyle w:val="Overskrift2"/>
      </w:pPr>
      <w:r>
        <w:t>Socialområdet</w:t>
      </w:r>
    </w:p>
    <w:p w14:paraId="35DD59B8" w14:textId="3914CECC" w:rsidR="006903F7" w:rsidRDefault="006903F7" w:rsidP="006903F7">
      <w:pPr>
        <w:pStyle w:val="Overskrift3"/>
      </w:pPr>
      <w:r>
        <w:t>45 millioner til specialeplanlægning – nu pege</w:t>
      </w:r>
      <w:r w:rsidR="00BF6F1B">
        <w:t>r</w:t>
      </w:r>
      <w:r>
        <w:t xml:space="preserve"> pilen på de videre forhandlinger</w:t>
      </w:r>
    </w:p>
    <w:p w14:paraId="5ADAEF0F" w14:textId="226B6195" w:rsidR="008E7F44" w:rsidRDefault="00894DA9" w:rsidP="008E7F44">
      <w:r>
        <w:t xml:space="preserve">DH og mange medlemsorganisationer har argumenteret for, </w:t>
      </w:r>
      <w:r w:rsidR="00E15E12">
        <w:t xml:space="preserve">at der på med årets finanslov bør afsættes midler til en reform af handicapområdet med udgangspunkt i en specialeplanlægning. </w:t>
      </w:r>
      <w:r w:rsidR="00883C46">
        <w:t xml:space="preserve">Det kan du blandt andet læse mere om her – </w:t>
      </w:r>
      <w:hyperlink r:id="rId11" w:history="1">
        <w:r w:rsidR="00883C46" w:rsidRPr="00883C46">
          <w:rPr>
            <w:rStyle w:val="Hyperlink"/>
          </w:rPr>
          <w:t>se link</w:t>
        </w:r>
      </w:hyperlink>
      <w:r w:rsidR="00883C46">
        <w:t xml:space="preserve">. </w:t>
      </w:r>
      <w:r w:rsidR="00C42D53">
        <w:t xml:space="preserve">DH har anbefalet, at pengene bør anvendes ifm. de forhandlinger, der starter, når evalueringen af handicapområdet er afsluttet senere på året. </w:t>
      </w:r>
    </w:p>
    <w:p w14:paraId="2BBDA948" w14:textId="03D5155F" w:rsidR="00883C46" w:rsidRDefault="00883C46" w:rsidP="008E7F44"/>
    <w:p w14:paraId="20A18BE5" w14:textId="62762E4F" w:rsidR="00883C46" w:rsidRDefault="00883C46" w:rsidP="008E7F44">
      <w:r>
        <w:t xml:space="preserve">I regeringens forslag til finanslov, er der afsat 45 mio. årligt </w:t>
      </w:r>
      <w:r w:rsidR="00405395">
        <w:t xml:space="preserve">til netop en specialeplanlægning, som der skal forhandles om </w:t>
      </w:r>
      <w:r w:rsidR="00F34529">
        <w:t xml:space="preserve">efter evalueringen af handicapområdet. </w:t>
      </w:r>
    </w:p>
    <w:p w14:paraId="6ADB6663" w14:textId="030D1ED8" w:rsidR="00846BCF" w:rsidRDefault="00846BCF" w:rsidP="008E7F44"/>
    <w:p w14:paraId="2964FB9E" w14:textId="52D296A2" w:rsidR="00846BCF" w:rsidRPr="00846BCF" w:rsidRDefault="00846BCF" w:rsidP="008E7F44">
      <w:pPr>
        <w:rPr>
          <w:i/>
        </w:rPr>
      </w:pPr>
      <w:r w:rsidRPr="00846BCF">
        <w:rPr>
          <w:i/>
        </w:rPr>
        <w:t>DH mener</w:t>
      </w:r>
    </w:p>
    <w:p w14:paraId="2237F575" w14:textId="0F810C9B" w:rsidR="006705BE" w:rsidRDefault="00846BCF" w:rsidP="00846BCF">
      <w:r>
        <w:t>Det er positivt, at regeringen på forhånd afsætter penge til at indføre specialeplanlægning på handicapområdet</w:t>
      </w:r>
      <w:r w:rsidR="00710D3B">
        <w:t>. Alligevel kommer vi ikke udenom, at der skal afsættes flere penge, hvis der skal gennemgøres tiltag på handicapområdet</w:t>
      </w:r>
      <w:r w:rsidR="001253EC">
        <w:t>. Derfor opfordrer DH til, at støttepartierne bruger de kommende forhandling</w:t>
      </w:r>
      <w:r w:rsidR="0087651C">
        <w:t xml:space="preserve">er om finansloven til at afsætte markant mere end 45 mio. til forhandlingerne om specialeplanlægning på handicapområdet. </w:t>
      </w:r>
    </w:p>
    <w:p w14:paraId="6B8E5AB7" w14:textId="55C54D02" w:rsidR="004301A4" w:rsidRDefault="00476541" w:rsidP="00476541">
      <w:pPr>
        <w:pStyle w:val="Overskrift3"/>
      </w:pPr>
      <w:r>
        <w:t>Tiltag til blandt andet beskæftigelse og retssikkerhed på socialreserven</w:t>
      </w:r>
    </w:p>
    <w:p w14:paraId="0D282E2E" w14:textId="7A066131" w:rsidR="0024598A" w:rsidRPr="0024598A" w:rsidRDefault="00A95AAF" w:rsidP="0024598A">
      <w:r>
        <w:t xml:space="preserve">I udspillet til finansloven løftede regeringens sløret for, hvordan de vil bruge nogle af pengene på reserven til foranstaltninger på social-, sundheds- og arbejdsmarkedsområdet i perioden 2022 – 2025. </w:t>
      </w:r>
      <w:r w:rsidR="00947A92">
        <w:t>Her er der t</w:t>
      </w:r>
      <w:r w:rsidR="00855CB1">
        <w:t xml:space="preserve">ale om den tidligere satspulje, som der forhandles om særskilt. </w:t>
      </w:r>
    </w:p>
    <w:p w14:paraId="45B9B32A" w14:textId="69D821C2" w:rsidR="006705BE" w:rsidRDefault="006705BE" w:rsidP="006705BE">
      <w:pPr>
        <w:rPr>
          <w:b/>
          <w:bCs/>
          <w:color w:val="1F497D"/>
        </w:rPr>
      </w:pPr>
    </w:p>
    <w:p w14:paraId="516FCAD6" w14:textId="3419B5DB" w:rsidR="006705BE" w:rsidRDefault="006705BE" w:rsidP="006705BE">
      <w:r>
        <w:t>Regeringen lægger</w:t>
      </w:r>
      <w:r w:rsidR="00B30C0E">
        <w:t xml:space="preserve"> blandt andet op til, </w:t>
      </w:r>
      <w:r>
        <w:t>til at der fra reservens midler skal bruges:</w:t>
      </w:r>
    </w:p>
    <w:p w14:paraId="52C86F9D" w14:textId="79AF4FDE" w:rsidR="006705BE" w:rsidRPr="00CB4E7C" w:rsidRDefault="006705BE" w:rsidP="006705BE">
      <w:pPr>
        <w:pStyle w:val="Listeafsnit"/>
        <w:numPr>
          <w:ilvl w:val="0"/>
          <w:numId w:val="16"/>
        </w:numPr>
        <w:rPr>
          <w:rFonts w:ascii="Open Sans Light" w:hAnsi="Open Sans Light" w:cs="Open Sans Light"/>
          <w:sz w:val="20"/>
          <w:szCs w:val="20"/>
        </w:rPr>
      </w:pPr>
      <w:r w:rsidRPr="00CB4E7C">
        <w:rPr>
          <w:rFonts w:ascii="Open Sans Light" w:hAnsi="Open Sans Light" w:cs="Open Sans Light"/>
          <w:sz w:val="20"/>
          <w:szCs w:val="20"/>
        </w:rPr>
        <w:t xml:space="preserve">140 mio. kr. til at forbedre retssikkerheden og kvaliteten i sagsbehandlingen på handicapområdet </w:t>
      </w:r>
    </w:p>
    <w:p w14:paraId="6E6EB213" w14:textId="0D037F2F" w:rsidR="006705BE" w:rsidRPr="00CB4E7C" w:rsidRDefault="006705BE" w:rsidP="006705BE">
      <w:pPr>
        <w:pStyle w:val="Listeafsnit"/>
        <w:numPr>
          <w:ilvl w:val="0"/>
          <w:numId w:val="16"/>
        </w:numPr>
        <w:rPr>
          <w:rFonts w:ascii="Open Sans Light" w:hAnsi="Open Sans Light" w:cs="Open Sans Light"/>
          <w:sz w:val="20"/>
          <w:szCs w:val="20"/>
        </w:rPr>
      </w:pPr>
      <w:r w:rsidRPr="00CB4E7C">
        <w:rPr>
          <w:rFonts w:ascii="Open Sans Light" w:hAnsi="Open Sans Light" w:cs="Open Sans Light"/>
          <w:sz w:val="20"/>
          <w:szCs w:val="20"/>
        </w:rPr>
        <w:t>114 mio. kr. til bl.a. en målrettet indsats for at fremme tilknytningen til arbejdsmarkedet for udsatte borgere, herunder borgere med psykiske lidelser, nedsat funktionsevne samt førtidspensionister.</w:t>
      </w:r>
    </w:p>
    <w:p w14:paraId="5A32E0F3" w14:textId="5658B79C" w:rsidR="00CB4E7C" w:rsidRPr="00CB4E7C" w:rsidRDefault="00CB4E7C" w:rsidP="006705BE">
      <w:pPr>
        <w:pStyle w:val="Listeafsnit"/>
        <w:numPr>
          <w:ilvl w:val="0"/>
          <w:numId w:val="16"/>
        </w:numPr>
        <w:rPr>
          <w:rFonts w:ascii="Open Sans Light" w:hAnsi="Open Sans Light" w:cs="Open Sans Light"/>
          <w:sz w:val="20"/>
          <w:szCs w:val="20"/>
        </w:rPr>
      </w:pPr>
      <w:r w:rsidRPr="00CB4E7C">
        <w:rPr>
          <w:rFonts w:ascii="Open Sans Light" w:hAnsi="Open Sans Light" w:cs="Open Sans Light"/>
          <w:sz w:val="20"/>
          <w:szCs w:val="20"/>
        </w:rPr>
        <w:t>10</w:t>
      </w:r>
      <w:r>
        <w:rPr>
          <w:rFonts w:ascii="Open Sans Light" w:hAnsi="Open Sans Light" w:cs="Open Sans Light"/>
          <w:sz w:val="20"/>
          <w:szCs w:val="20"/>
        </w:rPr>
        <w:t xml:space="preserve"> mio. til </w:t>
      </w:r>
      <w:r w:rsidR="000D031E">
        <w:rPr>
          <w:rFonts w:ascii="Open Sans Light" w:hAnsi="Open Sans Light" w:cs="Open Sans Light"/>
          <w:sz w:val="20"/>
          <w:szCs w:val="20"/>
        </w:rPr>
        <w:t>en ensomhedsstrategi</w:t>
      </w:r>
      <w:r>
        <w:rPr>
          <w:rFonts w:ascii="Open Sans Light" w:hAnsi="Open Sans Light" w:cs="Open Sans Light"/>
          <w:sz w:val="20"/>
          <w:szCs w:val="20"/>
        </w:rPr>
        <w:t xml:space="preserve"> </w:t>
      </w:r>
    </w:p>
    <w:p w14:paraId="21C3CD68" w14:textId="76A485D5" w:rsidR="00EA1871" w:rsidRDefault="00EA1871" w:rsidP="00EA1871"/>
    <w:p w14:paraId="20AF4307" w14:textId="16A53A12" w:rsidR="00EA1871" w:rsidRDefault="00EA1871" w:rsidP="00EA1871">
      <w:r>
        <w:t>Når der bruges fx 140 mio. på reserven til retssikkerhed, skal man være opmærksom på, at pengene bruges over en fireårig periode, inden de udløber. Det vil derfor sige i gennemsnit 35 mio. om året</w:t>
      </w:r>
      <w:r w:rsidR="0073604E">
        <w:t xml:space="preserve"> </w:t>
      </w:r>
      <w:r w:rsidR="00B57154">
        <w:t xml:space="preserve">de kommende fire år til retssikkerhed og kvalitet i sagsbehandlingen. </w:t>
      </w:r>
    </w:p>
    <w:p w14:paraId="5BB176AA" w14:textId="5CBFEE13" w:rsidR="00B57154" w:rsidRDefault="00B57154" w:rsidP="00EA1871"/>
    <w:p w14:paraId="4A1D255F" w14:textId="25D3CF42" w:rsidR="00B57154" w:rsidRDefault="00B57154" w:rsidP="00EA1871">
      <w:pPr>
        <w:rPr>
          <w:i/>
        </w:rPr>
      </w:pPr>
      <w:r>
        <w:rPr>
          <w:i/>
        </w:rPr>
        <w:t>DH mener</w:t>
      </w:r>
    </w:p>
    <w:p w14:paraId="49C2EF9E" w14:textId="54C25192" w:rsidR="00B57154" w:rsidRDefault="00B57154" w:rsidP="00EA1871">
      <w:r>
        <w:t>Det er positivt at regeringen vil styrke både retssikkerheden og beskæftigelsesindsatsen over for mennesker med handicap. Vi ser frem til</w:t>
      </w:r>
      <w:r w:rsidR="00CC1DC0">
        <w:t xml:space="preserve"> at følge, hvilke konkrete initiativer regeringen påtænker at tage. </w:t>
      </w:r>
    </w:p>
    <w:p w14:paraId="3DC03A29" w14:textId="62EFE17A" w:rsidR="000D031E" w:rsidRDefault="000D031E" w:rsidP="00EA1871"/>
    <w:p w14:paraId="67577055" w14:textId="77777777" w:rsidR="000D031E" w:rsidRDefault="000D031E" w:rsidP="000D031E">
      <w:r>
        <w:t xml:space="preserve">Det er positivt, at regeringen vil sætte gang i en ensomhedsstrategi og afsætte penge til det. Det skal være en strategi, som omfatter mennesker med handicap, fordi det er en af de hårdest ramte grupper ift. ensomhed. </w:t>
      </w:r>
    </w:p>
    <w:p w14:paraId="142ACB16" w14:textId="77777777" w:rsidR="006705BE" w:rsidRDefault="006705BE" w:rsidP="00CC1DC0">
      <w:pPr>
        <w:pStyle w:val="Overskrift2"/>
      </w:pPr>
      <w:r>
        <w:t>Det internationale område</w:t>
      </w:r>
    </w:p>
    <w:p w14:paraId="48BDBB05" w14:textId="77777777" w:rsidR="006705BE" w:rsidRDefault="006705BE" w:rsidP="006705BE">
      <w:r>
        <w:t xml:space="preserve">Der er ingen konkrete tiltag i finanslovsforslaget relateret til inklusion af mennesker med handicap i udviklingssamarbejdet og humanitære indsatser. Finansloven ligger i forlængelse af den i juni vedtagne udviklingspolitiske strategi ’Fælles om Verden’, hvor Verdensmålenes løfte om ikke at lade nogen i stikken samt inklusion af marginaliserede grupper er skrevet mere frem end tidligere. </w:t>
      </w:r>
    </w:p>
    <w:p w14:paraId="31BC9937" w14:textId="77777777" w:rsidR="006705BE" w:rsidRDefault="006705BE" w:rsidP="006705BE"/>
    <w:p w14:paraId="2B4EAA20" w14:textId="77777777" w:rsidR="006705BE" w:rsidRDefault="006705BE" w:rsidP="006705BE">
      <w:r>
        <w:t xml:space="preserve">Midler til DH’s internationale udviklingssamarbejde, hvoraf størstedelen allokeres til Handicappuljen, forbliver på samme niveau som foregående år, nemlig med en bevilling på 43,5 mio. kroner. </w:t>
      </w:r>
    </w:p>
    <w:p w14:paraId="74F863B1" w14:textId="77777777" w:rsidR="006705BE" w:rsidRDefault="006705BE" w:rsidP="006705BE">
      <w:pPr>
        <w:autoSpaceDE w:val="0"/>
        <w:autoSpaceDN w:val="0"/>
        <w:rPr>
          <w:i/>
          <w:iCs/>
        </w:rPr>
      </w:pPr>
      <w:r>
        <w:rPr>
          <w:i/>
          <w:iCs/>
        </w:rPr>
        <w:t>DH mener</w:t>
      </w:r>
    </w:p>
    <w:p w14:paraId="78156466" w14:textId="77777777" w:rsidR="006705BE" w:rsidRDefault="006705BE" w:rsidP="006705BE">
      <w:pPr>
        <w:autoSpaceDE w:val="0"/>
        <w:autoSpaceDN w:val="0"/>
      </w:pPr>
      <w:r>
        <w:t xml:space="preserve">DH er på vegne af medlemsorganisationernes og egne partnerskaber glade og tilfredse med, at UM fortsat understøtter den danske handicapbevægelses internationale engagement. </w:t>
      </w:r>
    </w:p>
    <w:p w14:paraId="5676C2DC" w14:textId="2C4A2D83" w:rsidR="006705BE" w:rsidRDefault="00CC1DC0" w:rsidP="00CC1DC0">
      <w:pPr>
        <w:pStyle w:val="Overskrift2"/>
      </w:pPr>
      <w:r>
        <w:t>Sundhedsområdet</w:t>
      </w:r>
    </w:p>
    <w:p w14:paraId="6B1E1F19" w14:textId="77777777" w:rsidR="00465276" w:rsidRDefault="00465276" w:rsidP="006705BE">
      <w:pPr>
        <w:rPr>
          <w:b/>
          <w:bCs/>
        </w:rPr>
      </w:pPr>
    </w:p>
    <w:p w14:paraId="3713E4AA" w14:textId="50ABD52E" w:rsidR="006705BE" w:rsidRDefault="006705BE" w:rsidP="006705BE">
      <w:pPr>
        <w:rPr>
          <w:b/>
          <w:bCs/>
        </w:rPr>
      </w:pPr>
      <w:r>
        <w:rPr>
          <w:b/>
          <w:bCs/>
        </w:rPr>
        <w:t>Nærhospitaler – bedre balance mellem land og by</w:t>
      </w:r>
    </w:p>
    <w:p w14:paraId="11380FFF" w14:textId="3BC5D452" w:rsidR="006705BE" w:rsidRDefault="006705BE" w:rsidP="006705BE">
      <w:r>
        <w:t>Frem mod 2025 vil regeringen bruge mellem 430 og 545 millioner årligt på at fremme balancen mellem land og by. Midlerne til nærhospitaler er indeholdt i dette beløb. Ud</w:t>
      </w:r>
      <w:r w:rsidR="00EC395C">
        <w:t xml:space="preserve"> </w:t>
      </w:r>
      <w:r>
        <w:t xml:space="preserve">over nærhospitaler skal pengene blandt andet finansiere tiltag til at sikre billigere boliger samt to andre udspil om henholdsvis udflytning af uddannelsesinstitutioner og flere grønne åndehuller og idrætsaktiviteter i hovedstaden. Det er derfor ikke muligt at sige, hvor meget regeringen reelt vil bruge på nærhospitaler.  </w:t>
      </w:r>
    </w:p>
    <w:p w14:paraId="2ECA72FE" w14:textId="77777777" w:rsidR="006705BE" w:rsidRDefault="006705BE" w:rsidP="006705BE">
      <w:pPr>
        <w:rPr>
          <w:i/>
          <w:iCs/>
        </w:rPr>
      </w:pPr>
    </w:p>
    <w:p w14:paraId="27AA4D72" w14:textId="77777777" w:rsidR="006705BE" w:rsidRDefault="006705BE" w:rsidP="006705BE">
      <w:pPr>
        <w:rPr>
          <w:i/>
          <w:iCs/>
        </w:rPr>
      </w:pPr>
      <w:r>
        <w:rPr>
          <w:i/>
          <w:iCs/>
        </w:rPr>
        <w:t>DH mener</w:t>
      </w:r>
    </w:p>
    <w:p w14:paraId="4B69D9B7" w14:textId="77777777" w:rsidR="006705BE" w:rsidRDefault="006705BE" w:rsidP="006705BE">
      <w:r>
        <w:t xml:space="preserve">Nærhospitaler bør bidrage til at sikre en bedre sammenhæng og helhedsorienteret indsats for borgere med handicap og kroniske sygdomme. Det er vigtigt at finde den rette balance mellem nærhed og specialisering. For en stor del af de mennesker vi repræsenterer, er det vigtigere at de får den rigtige behandling og faglige indsats – end at behandlingen nødvendigvis er tæt på. Derfor kan vi godt være bekymrede for, at et for ensidigt fokus på geografisk nærhed, ikke bidrager positivt til den rette faglighed og specialisering.  </w:t>
      </w:r>
    </w:p>
    <w:p w14:paraId="36D23060" w14:textId="77777777" w:rsidR="006705BE" w:rsidRDefault="006705BE" w:rsidP="006705BE">
      <w:pPr>
        <w:rPr>
          <w:b/>
          <w:bCs/>
        </w:rPr>
      </w:pPr>
    </w:p>
    <w:p w14:paraId="3896A61F" w14:textId="77777777" w:rsidR="006705BE" w:rsidRDefault="006705BE" w:rsidP="006705BE">
      <w:pPr>
        <w:rPr>
          <w:b/>
          <w:bCs/>
        </w:rPr>
      </w:pPr>
      <w:r>
        <w:rPr>
          <w:b/>
          <w:bCs/>
        </w:rPr>
        <w:t>Sundhedsklynger i aftale med regioner og kommuner</w:t>
      </w:r>
    </w:p>
    <w:p w14:paraId="066FC589" w14:textId="77777777" w:rsidR="006705BE" w:rsidRDefault="006705BE" w:rsidP="006705BE">
      <w:r>
        <w:t>For at imødegå sundhedsvæsenets udfordringer med flere ældre og flere patienter med kroniske lidelser har regeringen endvidere med ”Aftale om sammenhæng og nærhed” (sundhedsklynger) med KL og Danske Regioner (juni 2021) aftalt etableringen og formaliseringen af ’sundhedsklynger’ omkring hvert af de 21 akuthospitaler. Der er med aftalen enighed om at prioritere 80 mio. kr. som fælles midler i 2022 til opstart af sundhedsklyngernes arbejde. Midlerne afsættes med en 50/50-fordeling mellem regioner og kommuner.</w:t>
      </w:r>
    </w:p>
    <w:p w14:paraId="08F9DD2F" w14:textId="77777777" w:rsidR="006705BE" w:rsidRDefault="006705BE" w:rsidP="006705BE">
      <w:pPr>
        <w:rPr>
          <w:i/>
          <w:iCs/>
        </w:rPr>
      </w:pPr>
    </w:p>
    <w:p w14:paraId="74A70154" w14:textId="77777777" w:rsidR="006705BE" w:rsidRDefault="006705BE" w:rsidP="006705BE">
      <w:pPr>
        <w:rPr>
          <w:i/>
          <w:iCs/>
        </w:rPr>
      </w:pPr>
      <w:r>
        <w:rPr>
          <w:i/>
          <w:iCs/>
        </w:rPr>
        <w:t>DH mener</w:t>
      </w:r>
    </w:p>
    <w:p w14:paraId="45EAE8A1" w14:textId="77777777" w:rsidR="006705BE" w:rsidRDefault="006705BE" w:rsidP="006705BE">
      <w:r>
        <w:t xml:space="preserve">Der er et meget stort behov for at skabe bedre sammenhæng for patienter med handicap og kroniske sygdomme. Sammenhængen mellem forskellige sektorer – hospital, kommunale tilbud og den praktiserende læge skaber dårlige forløb for mange patienter. Sundhedsklyngerne og samarbejdet mellem kommune og regioner er derfor et skridt i den rigtige retning. </w:t>
      </w:r>
    </w:p>
    <w:p w14:paraId="5FEB3EBB" w14:textId="77777777" w:rsidR="006705BE" w:rsidRDefault="006705BE" w:rsidP="006705BE">
      <w:pPr>
        <w:rPr>
          <w:b/>
          <w:bCs/>
        </w:rPr>
      </w:pPr>
    </w:p>
    <w:p w14:paraId="5ED26865" w14:textId="77777777" w:rsidR="006705BE" w:rsidRDefault="006705BE" w:rsidP="006705BE">
      <w:pPr>
        <w:rPr>
          <w:b/>
          <w:bCs/>
        </w:rPr>
      </w:pPr>
      <w:r>
        <w:rPr>
          <w:b/>
          <w:bCs/>
        </w:rPr>
        <w:t>Manglende prioritering af sundhed og psykiatri</w:t>
      </w:r>
    </w:p>
    <w:p w14:paraId="48FBCA13" w14:textId="77777777" w:rsidR="006705BE" w:rsidRDefault="006705BE" w:rsidP="006705BE">
      <w:r>
        <w:t xml:space="preserve">Der er på årets finanslovsudspil ikke sat midler af til hverken den forventede sundhedsreform, som skulle skabe bedre sammenhænge og bedre kvalitet særligt i det nære sundhedsvæsen. Ligesom der ikke er afsat midler til psykiatrien – herunder en lovet og nødvendig 10 års plan for psykiatrien. </w:t>
      </w:r>
    </w:p>
    <w:p w14:paraId="7E841D81" w14:textId="77777777" w:rsidR="006705BE" w:rsidRDefault="006705BE" w:rsidP="006705BE">
      <w:pPr>
        <w:rPr>
          <w:i/>
          <w:iCs/>
        </w:rPr>
      </w:pPr>
    </w:p>
    <w:p w14:paraId="2D6CDF91" w14:textId="77777777" w:rsidR="006705BE" w:rsidRDefault="006705BE" w:rsidP="006705BE">
      <w:pPr>
        <w:rPr>
          <w:i/>
          <w:iCs/>
        </w:rPr>
      </w:pPr>
      <w:r>
        <w:rPr>
          <w:i/>
          <w:iCs/>
        </w:rPr>
        <w:t>DH mener</w:t>
      </w:r>
    </w:p>
    <w:p w14:paraId="1976C5A5" w14:textId="77777777" w:rsidR="00491F5E" w:rsidRDefault="006705BE" w:rsidP="006705BE">
      <w:r>
        <w:t xml:space="preserve">Det er skuffende at hverken det nære sundhedsvæsen eller psykiatrien står højere på regeringens dagsorden. Begge er områder, som i den grad lider og har brug for forbedringer – det gælder både på det organisatoriske plan, men også i den grad økonomisk. Derfor undrer vi os over, i lighed med andre aktører på området, at der ikke er afsat betydelige midler til et løft af området. </w:t>
      </w:r>
    </w:p>
    <w:p w14:paraId="01739AE9" w14:textId="6CCBA833" w:rsidR="006705BE" w:rsidRPr="00491F5E" w:rsidRDefault="00491F5E" w:rsidP="00491F5E">
      <w:pPr>
        <w:pStyle w:val="Overskrift2"/>
      </w:pPr>
      <w:r>
        <w:lastRenderedPageBreak/>
        <w:t>Beskæftigelse og arbejdsmarked</w:t>
      </w:r>
      <w:r w:rsidR="006705BE">
        <w:t> </w:t>
      </w:r>
    </w:p>
    <w:p w14:paraId="7AD8AF16" w14:textId="36E7A3C8" w:rsidR="00491F5E" w:rsidRDefault="00491F5E" w:rsidP="00491F5E"/>
    <w:p w14:paraId="6F82FE07" w14:textId="6493C049" w:rsidR="00491F5E" w:rsidRDefault="00491F5E" w:rsidP="00491F5E">
      <w:r>
        <w:t xml:space="preserve">Som tidligere nævnt varsler regeringen, at der som led i forhandlingerne om socialreserven vil blive afsat midler </w:t>
      </w:r>
      <w:r w:rsidR="00540E8A">
        <w:t xml:space="preserve">beskæftigelsesindsatsen for mennesker med handicap, hvilket DH følger. Derudover er der i forslaget til finanslov følgende nye tiltag. </w:t>
      </w:r>
    </w:p>
    <w:p w14:paraId="2168B19C" w14:textId="77777777" w:rsidR="00491F5E" w:rsidRDefault="00491F5E" w:rsidP="00491F5E"/>
    <w:p w14:paraId="65C1DFF1" w14:textId="77777777" w:rsidR="00491F5E" w:rsidRDefault="00491F5E" w:rsidP="00491F5E">
      <w:pPr>
        <w:rPr>
          <w:b/>
          <w:bCs/>
        </w:rPr>
      </w:pPr>
      <w:r>
        <w:rPr>
          <w:b/>
          <w:bCs/>
        </w:rPr>
        <w:t>Bedre match på arbejdsmarkedet</w:t>
      </w:r>
    </w:p>
    <w:p w14:paraId="59B9119E" w14:textId="77777777" w:rsidR="00491F5E" w:rsidRDefault="00491F5E" w:rsidP="00491F5E">
      <w:r>
        <w:t xml:space="preserve">Mange virksomheder rapporterer om mangel på arbejdskraft. Samtidig er ”visse grupper” i samfundet svagt repræsenteret på arbejdsmarkedet, skrives det. </w:t>
      </w:r>
    </w:p>
    <w:p w14:paraId="2BE5B7E9" w14:textId="77777777" w:rsidR="00491F5E" w:rsidRDefault="00491F5E" w:rsidP="00491F5E">
      <w:r>
        <w:t>Der afsættes 35 mio. kr. årligt i 2022 og 2023 til at få flere med.  </w:t>
      </w:r>
    </w:p>
    <w:p w14:paraId="26CD337F" w14:textId="77777777" w:rsidR="00491F5E" w:rsidRDefault="00491F5E" w:rsidP="00491F5E"/>
    <w:p w14:paraId="293D5E6A" w14:textId="77777777" w:rsidR="00491F5E" w:rsidRDefault="00491F5E" w:rsidP="00491F5E">
      <w:pPr>
        <w:rPr>
          <w:i/>
          <w:iCs/>
        </w:rPr>
      </w:pPr>
      <w:r>
        <w:rPr>
          <w:i/>
          <w:iCs/>
        </w:rPr>
        <w:t>DH mener:</w:t>
      </w:r>
    </w:p>
    <w:p w14:paraId="325BC2BA" w14:textId="77777777" w:rsidR="00491F5E" w:rsidRDefault="00491F5E" w:rsidP="00491F5E">
      <w:r>
        <w:t xml:space="preserve">Der er brug for indsatser for at få flere med. 35 mio.kr. er ikke nok, og det er uklart, om regeringen har personer med handicap i randen af arbejdsmarkedet i tankerne. </w:t>
      </w:r>
    </w:p>
    <w:p w14:paraId="153934A3" w14:textId="77777777" w:rsidR="00CB4E7C" w:rsidRDefault="00CB4E7C" w:rsidP="00CB4E7C">
      <w:pPr>
        <w:rPr>
          <w:b/>
          <w:bCs/>
        </w:rPr>
      </w:pPr>
    </w:p>
    <w:p w14:paraId="27117639" w14:textId="35E82DD0" w:rsidR="00DC5958" w:rsidRDefault="00DC5958" w:rsidP="00DC5958">
      <w:pPr>
        <w:pStyle w:val="Overskrift2"/>
      </w:pPr>
      <w:r>
        <w:t>Digitalisering og tilgængelighed</w:t>
      </w:r>
    </w:p>
    <w:p w14:paraId="21DD3DF4" w14:textId="069F4472" w:rsidR="006705BE" w:rsidRPr="00DC5958" w:rsidRDefault="006705BE" w:rsidP="006705BE">
      <w:r w:rsidRPr="00DC5958">
        <w:t>Regeringen nævner under decentrale forhandlingsløb to forhandlinger, der er vigtige for at sikre bedre tilgængelighed til medier og digitalisering for mennesker med handicap: medier og en digitaliseringsstrategi for hele Danmark.</w:t>
      </w:r>
    </w:p>
    <w:p w14:paraId="3F9E773C" w14:textId="77777777" w:rsidR="006705BE" w:rsidRPr="00DC5958" w:rsidRDefault="006705BE" w:rsidP="006705BE"/>
    <w:p w14:paraId="3D51039D" w14:textId="77777777" w:rsidR="006705BE" w:rsidRPr="00DC5958" w:rsidRDefault="006705BE" w:rsidP="006705BE">
      <w:pPr>
        <w:rPr>
          <w:i/>
          <w:iCs/>
        </w:rPr>
      </w:pPr>
      <w:r w:rsidRPr="00DC5958">
        <w:rPr>
          <w:i/>
          <w:iCs/>
        </w:rPr>
        <w:t>DH mener</w:t>
      </w:r>
    </w:p>
    <w:p w14:paraId="680472DA" w14:textId="77777777" w:rsidR="006705BE" w:rsidRPr="00DC5958" w:rsidRDefault="006705BE" w:rsidP="006705BE">
      <w:r w:rsidRPr="00DC5958">
        <w:t>Forhandlinger om ny medieaftale har været på tapetet længe, men er blevet udskudt. Det er derfor positivt, at de er nævnt i udspillet. DH vil arbejde for, at aftalen sikrer bedre tilgængelighed til medier for mennesker med handicap.</w:t>
      </w:r>
    </w:p>
    <w:p w14:paraId="48E11E37" w14:textId="77777777" w:rsidR="00CB4E7C" w:rsidRDefault="00CB4E7C" w:rsidP="006705BE"/>
    <w:p w14:paraId="0DB706B7" w14:textId="52315044" w:rsidR="006705BE" w:rsidRPr="00DC5958" w:rsidRDefault="006705BE" w:rsidP="006705BE">
      <w:r w:rsidRPr="00DC5958">
        <w:t>Arbejdet med en ny digitaliseringsstrategi er igangsat, og DH har været i dialog med Digitaliseringsstyrelsen om dette. DH mener, at strategien skal sikre bedre tilgængelighed til digitale løsninger for mennesker med handicap og muligheder for alternativer til digitale løsninger for mennesker med handicap, der ikke er digitale.</w:t>
      </w:r>
    </w:p>
    <w:p w14:paraId="46CF8D24" w14:textId="7E3AEA4C" w:rsidR="006705BE" w:rsidRDefault="006705BE" w:rsidP="00DF1EC4"/>
    <w:p w14:paraId="353B5DDF" w14:textId="77777777" w:rsidR="00491F5E" w:rsidRDefault="00491F5E" w:rsidP="00DF1EC4"/>
    <w:p w14:paraId="213CBA20" w14:textId="3CDA36D8" w:rsidR="008E7F44" w:rsidRDefault="008E7F44" w:rsidP="00DF1EC4"/>
    <w:p w14:paraId="3E4FE118" w14:textId="77777777" w:rsidR="008E7F44" w:rsidRDefault="008E7F44" w:rsidP="00DF1EC4"/>
    <w:sectPr w:rsidR="008E7F44" w:rsidSect="00DB335E">
      <w:headerReference w:type="even" r:id="rId12"/>
      <w:headerReference w:type="default" r:id="rId13"/>
      <w:footerReference w:type="even" r:id="rId14"/>
      <w:footerReference w:type="default" r:id="rId15"/>
      <w:headerReference w:type="first" r:id="rId16"/>
      <w:footerReference w:type="first" r:id="rId17"/>
      <w:pgSz w:w="11906" w:h="16838" w:code="9"/>
      <w:pgMar w:top="2155" w:right="567" w:bottom="1985" w:left="567"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D51760" w14:textId="77777777" w:rsidR="0056317A" w:rsidRDefault="00491F5E">
      <w:pPr>
        <w:spacing w:line="240" w:lineRule="auto"/>
      </w:pPr>
      <w:r>
        <w:separator/>
      </w:r>
    </w:p>
  </w:endnote>
  <w:endnote w:type="continuationSeparator" w:id="0">
    <w:p w14:paraId="78D51762" w14:textId="77777777" w:rsidR="0056317A" w:rsidRDefault="00491F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altName w:val="Microsoft JhengHei Light"/>
    <w:charset w:val="00"/>
    <w:family w:val="swiss"/>
    <w:pitch w:val="variable"/>
    <w:sig w:usb0="E00002EF" w:usb1="4000205B" w:usb2="00000028" w:usb3="00000000" w:csb0="0000019F" w:csb1="00000000"/>
    <w:embedRegular r:id="rId1" w:fontKey="{9488F1EC-9205-4AF1-BC5D-9C8C4D817E4F}"/>
    <w:embedBold r:id="rId2" w:fontKey="{7F188D70-B7EB-4B15-AEC6-43DF8B7CED5E}"/>
    <w:embedItalic r:id="rId3" w:fontKey="{AA074B83-A076-40CF-BCDF-EE68EFCDD7E2}"/>
    <w:embedBoldItalic r:id="rId4" w:fontKey="{2C3396BC-3953-4F4D-96D6-93401F83AD13}"/>
  </w:font>
  <w:font w:name="Verdana">
    <w:panose1 w:val="020B0604030504040204"/>
    <w:charset w:val="00"/>
    <w:family w:val="swiss"/>
    <w:pitch w:val="variable"/>
    <w:sig w:usb0="A00006FF" w:usb1="4000205B" w:usb2="00000010" w:usb3="00000000" w:csb0="0000019F" w:csb1="00000000"/>
    <w:embedRegular r:id="rId5" w:fontKey="{05CDEE92-3B46-4FC8-9AA3-758A6C54A659}"/>
    <w:embedBold r:id="rId6" w:fontKey="{BD0C0B71-B8E2-453D-96DB-FD406B88F8D0}"/>
    <w:embedItalic r:id="rId7" w:fontKey="{E426F303-13C2-4F1C-9806-91E15CE8CAB7}"/>
    <w:embedBoldItalic r:id="rId8" w:fontKey="{9AFB0DE5-CFB6-421E-838E-DF6085524E33}"/>
  </w:font>
  <w:font w:name="Open Sans">
    <w:altName w:val="Arial"/>
    <w:charset w:val="00"/>
    <w:family w:val="swiss"/>
    <w:pitch w:val="variable"/>
    <w:sig w:usb0="00000001"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embedRegular r:id="rId9" w:fontKey="{9BFE1D78-E61E-4761-9797-B2FB576040DA}"/>
  </w:font>
  <w:font w:name="Calibri">
    <w:panose1 w:val="020F0502020204030204"/>
    <w:charset w:val="00"/>
    <w:family w:val="swiss"/>
    <w:pitch w:val="variable"/>
    <w:sig w:usb0="E4002EFF" w:usb1="C000247B" w:usb2="00000009" w:usb3="00000000" w:csb0="000001FF" w:csb1="00000000"/>
    <w:embedRegular r:id="rId10" w:fontKey="{0F286F80-2AB8-4B27-8734-02C39C414C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51755" w14:textId="77777777" w:rsidR="00373326" w:rsidRDefault="00373326">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51756" w14:textId="77777777" w:rsidR="00100249" w:rsidRDefault="00491F5E" w:rsidP="00100249">
    <w:pPr>
      <w:pStyle w:val="Sidefod"/>
    </w:pPr>
    <w:r>
      <w:rPr>
        <w:noProof/>
        <w:lang w:eastAsia="da-DK"/>
      </w:rPr>
      <mc:AlternateContent>
        <mc:Choice Requires="wps">
          <w:drawing>
            <wp:anchor distT="0" distB="0" distL="114300" distR="114300" simplePos="0" relativeHeight="251660288" behindDoc="0" locked="0" layoutInCell="1" allowOverlap="1" wp14:anchorId="78D5175C" wp14:editId="78D5175D">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78D51762" w14:textId="12F89815" w:rsidR="00100249" w:rsidRDefault="00491F5E"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6B3700">
                            <w:rPr>
                              <w:rStyle w:val="Sidetal"/>
                              <w:noProof/>
                            </w:rPr>
                            <w:t>3</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6B3700">
                            <w:rPr>
                              <w:rStyle w:val="Sidetal"/>
                              <w:noProof/>
                            </w:rPr>
                            <w:t>3</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8D5175C"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602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" filled="f" fillcolor="white [3201]" stroked="f" strokeweight=".5pt">
              <v:textbox inset="0,0,0,0">
                <w:txbxContent>
                  <w:p w14:paraId="78D51762" w14:textId="12F89815" w:rsidR="00100249" w:rsidRDefault="00491F5E"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6B3700">
                      <w:rPr>
                        <w:rStyle w:val="Sidetal"/>
                        <w:noProof/>
                      </w:rPr>
                      <w:t>3</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6B3700">
                      <w:rPr>
                        <w:rStyle w:val="Sidetal"/>
                        <w:noProof/>
                      </w:rPr>
                      <w:t>3</w:t>
                    </w:r>
                    <w:r>
                      <w:rPr>
                        <w:rStyle w:val="Sidetal"/>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CB1FD6" w14:paraId="78D5175A" w14:textId="77777777" w:rsidTr="00A97F6A">
      <w:tc>
        <w:tcPr>
          <w:tcW w:w="10915" w:type="dxa"/>
          <w:hideMark/>
        </w:tcPr>
        <w:p w14:paraId="78D51759" w14:textId="77777777" w:rsidR="00A97F6A" w:rsidRDefault="00491F5E" w:rsidP="00373326">
          <w:pPr>
            <w:pStyle w:val="Footer-info"/>
          </w:pPr>
          <w:r>
            <w:t>DH er talerør for handicaporganisationerne og repræsenterer alle typer af handicap - fra hjerneskade og gigt til udviklingshæmning og sindslidelse.</w:t>
          </w:r>
          <w:r>
            <w:br/>
            <w:t>3</w:t>
          </w:r>
          <w:r w:rsidR="00373326">
            <w:t>5</w:t>
          </w:r>
          <w:r>
            <w:t xml:space="preserve"> handicaporganisationer med cirka 340.000 medlemmer er tilsluttet DH.</w:t>
          </w:r>
        </w:p>
      </w:tc>
    </w:tr>
  </w:tbl>
  <w:p w14:paraId="78D5175B" w14:textId="77777777" w:rsidR="00C41E04" w:rsidRDefault="00C41E04" w:rsidP="00C41E0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D5175C" w14:textId="77777777" w:rsidR="0056317A" w:rsidRDefault="00491F5E">
      <w:pPr>
        <w:spacing w:line="240" w:lineRule="auto"/>
      </w:pPr>
      <w:r>
        <w:separator/>
      </w:r>
    </w:p>
  </w:footnote>
  <w:footnote w:type="continuationSeparator" w:id="0">
    <w:p w14:paraId="78D5175E" w14:textId="77777777" w:rsidR="0056317A" w:rsidRDefault="00491F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51752" w14:textId="77777777" w:rsidR="00373326" w:rsidRDefault="00373326">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51753" w14:textId="77777777" w:rsidR="00022BE5" w:rsidRDefault="00022BE5" w:rsidP="00022BE5">
    <w:pPr>
      <w:pStyle w:val="Sidehoved"/>
    </w:pPr>
  </w:p>
  <w:p w14:paraId="78D51754" w14:textId="77777777" w:rsidR="00AA4E87" w:rsidRDefault="00AA4E87">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51757" w14:textId="77777777" w:rsidR="002762D8" w:rsidRDefault="00491F5E" w:rsidP="00F4074D">
    <w:pPr>
      <w:pStyle w:val="Sidehoved"/>
    </w:pPr>
    <w:r>
      <w:rPr>
        <w:noProof/>
        <w:lang w:eastAsia="da-DK"/>
      </w:rPr>
      <w:drawing>
        <wp:anchor distT="0" distB="0" distL="114300" distR="114300" simplePos="0" relativeHeight="251658240" behindDoc="0" locked="0" layoutInCell="1" allowOverlap="1" wp14:anchorId="78D5175E" wp14:editId="78D5175F">
          <wp:simplePos x="0" y="0"/>
          <wp:positionH relativeFrom="page">
            <wp:posOffset>5395126</wp:posOffset>
          </wp:positionH>
          <wp:positionV relativeFrom="page">
            <wp:posOffset>360045</wp:posOffset>
          </wp:positionV>
          <wp:extent cx="1799590" cy="619125"/>
          <wp:effectExtent l="0" t="0" r="0" b="9525"/>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59264" behindDoc="1" locked="0" layoutInCell="1" hidden="1" allowOverlap="1" wp14:anchorId="78D51760" wp14:editId="78D51761">
          <wp:simplePos x="0" y="0"/>
          <wp:positionH relativeFrom="page">
            <wp:posOffset>0</wp:posOffset>
          </wp:positionH>
          <wp:positionV relativeFrom="page">
            <wp:posOffset>0</wp:posOffset>
          </wp:positionV>
          <wp:extent cx="7559675" cy="10727690"/>
          <wp:effectExtent l="0" t="0" r="3175" b="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78D51758" w14:textId="77777777" w:rsidR="008F4D20" w:rsidRPr="00F4074D" w:rsidRDefault="008F4D20" w:rsidP="00F4074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2B6C18AE"/>
    <w:multiLevelType w:val="hybridMultilevel"/>
    <w:tmpl w:val="E4B0F580"/>
    <w:lvl w:ilvl="0" w:tplc="EA7C202A">
      <w:start w:val="1"/>
      <w:numFmt w:val="bullet"/>
      <w:lvlText w:val="•"/>
      <w:lvlJc w:val="left"/>
      <w:pPr>
        <w:tabs>
          <w:tab w:val="num" w:pos="720"/>
        </w:tabs>
        <w:ind w:left="720" w:hanging="360"/>
      </w:pPr>
      <w:rPr>
        <w:rFonts w:ascii="Arial" w:hAnsi="Arial" w:hint="default"/>
      </w:rPr>
    </w:lvl>
    <w:lvl w:ilvl="1" w:tplc="40F677FC">
      <w:start w:val="1"/>
      <w:numFmt w:val="bullet"/>
      <w:lvlText w:val="•"/>
      <w:lvlJc w:val="left"/>
      <w:pPr>
        <w:tabs>
          <w:tab w:val="num" w:pos="1440"/>
        </w:tabs>
        <w:ind w:left="1440" w:hanging="360"/>
      </w:pPr>
      <w:rPr>
        <w:rFonts w:ascii="Arial" w:hAnsi="Arial" w:hint="default"/>
      </w:rPr>
    </w:lvl>
    <w:lvl w:ilvl="2" w:tplc="65C4AC64" w:tentative="1">
      <w:start w:val="1"/>
      <w:numFmt w:val="bullet"/>
      <w:lvlText w:val="•"/>
      <w:lvlJc w:val="left"/>
      <w:pPr>
        <w:tabs>
          <w:tab w:val="num" w:pos="2160"/>
        </w:tabs>
        <w:ind w:left="2160" w:hanging="360"/>
      </w:pPr>
      <w:rPr>
        <w:rFonts w:ascii="Arial" w:hAnsi="Arial" w:hint="default"/>
      </w:rPr>
    </w:lvl>
    <w:lvl w:ilvl="3" w:tplc="0D142A0A" w:tentative="1">
      <w:start w:val="1"/>
      <w:numFmt w:val="bullet"/>
      <w:lvlText w:val="•"/>
      <w:lvlJc w:val="left"/>
      <w:pPr>
        <w:tabs>
          <w:tab w:val="num" w:pos="2880"/>
        </w:tabs>
        <w:ind w:left="2880" w:hanging="360"/>
      </w:pPr>
      <w:rPr>
        <w:rFonts w:ascii="Arial" w:hAnsi="Arial" w:hint="default"/>
      </w:rPr>
    </w:lvl>
    <w:lvl w:ilvl="4" w:tplc="37F63FA0" w:tentative="1">
      <w:start w:val="1"/>
      <w:numFmt w:val="bullet"/>
      <w:lvlText w:val="•"/>
      <w:lvlJc w:val="left"/>
      <w:pPr>
        <w:tabs>
          <w:tab w:val="num" w:pos="3600"/>
        </w:tabs>
        <w:ind w:left="3600" w:hanging="360"/>
      </w:pPr>
      <w:rPr>
        <w:rFonts w:ascii="Arial" w:hAnsi="Arial" w:hint="default"/>
      </w:rPr>
    </w:lvl>
    <w:lvl w:ilvl="5" w:tplc="54662E0E" w:tentative="1">
      <w:start w:val="1"/>
      <w:numFmt w:val="bullet"/>
      <w:lvlText w:val="•"/>
      <w:lvlJc w:val="left"/>
      <w:pPr>
        <w:tabs>
          <w:tab w:val="num" w:pos="4320"/>
        </w:tabs>
        <w:ind w:left="4320" w:hanging="360"/>
      </w:pPr>
      <w:rPr>
        <w:rFonts w:ascii="Arial" w:hAnsi="Arial" w:hint="default"/>
      </w:rPr>
    </w:lvl>
    <w:lvl w:ilvl="6" w:tplc="49D606A2" w:tentative="1">
      <w:start w:val="1"/>
      <w:numFmt w:val="bullet"/>
      <w:lvlText w:val="•"/>
      <w:lvlJc w:val="left"/>
      <w:pPr>
        <w:tabs>
          <w:tab w:val="num" w:pos="5040"/>
        </w:tabs>
        <w:ind w:left="5040" w:hanging="360"/>
      </w:pPr>
      <w:rPr>
        <w:rFonts w:ascii="Arial" w:hAnsi="Arial" w:hint="default"/>
      </w:rPr>
    </w:lvl>
    <w:lvl w:ilvl="7" w:tplc="BD84EAC8" w:tentative="1">
      <w:start w:val="1"/>
      <w:numFmt w:val="bullet"/>
      <w:lvlText w:val="•"/>
      <w:lvlJc w:val="left"/>
      <w:pPr>
        <w:tabs>
          <w:tab w:val="num" w:pos="5760"/>
        </w:tabs>
        <w:ind w:left="5760" w:hanging="360"/>
      </w:pPr>
      <w:rPr>
        <w:rFonts w:ascii="Arial" w:hAnsi="Arial" w:hint="default"/>
      </w:rPr>
    </w:lvl>
    <w:lvl w:ilvl="8" w:tplc="870412D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E6E518B"/>
    <w:multiLevelType w:val="hybridMultilevel"/>
    <w:tmpl w:val="281E8A0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1"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2"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2"/>
  </w:num>
  <w:num w:numId="2">
    <w:abstractNumId w:val="7"/>
  </w:num>
  <w:num w:numId="3">
    <w:abstractNumId w:val="6"/>
  </w:num>
  <w:num w:numId="4">
    <w:abstractNumId w:val="5"/>
  </w:num>
  <w:num w:numId="5">
    <w:abstractNumId w:val="4"/>
  </w:num>
  <w:num w:numId="6">
    <w:abstractNumId w:val="11"/>
  </w:num>
  <w:num w:numId="7">
    <w:abstractNumId w:val="3"/>
  </w:num>
  <w:num w:numId="8">
    <w:abstractNumId w:val="2"/>
  </w:num>
  <w:num w:numId="9">
    <w:abstractNumId w:val="1"/>
  </w:num>
  <w:num w:numId="10">
    <w:abstractNumId w:val="0"/>
  </w:num>
  <w:num w:numId="11">
    <w:abstractNumId w:val="8"/>
  </w:num>
  <w:num w:numId="12">
    <w:abstractNumId w:val="11"/>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2"/>
  </w:num>
  <w:num w:numId="14">
    <w:abstractNumId w:val="11"/>
  </w:num>
  <w:num w:numId="15">
    <w:abstractNumId w:val="9"/>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8ED"/>
    <w:rsid w:val="000032BF"/>
    <w:rsid w:val="00003491"/>
    <w:rsid w:val="00004865"/>
    <w:rsid w:val="00016218"/>
    <w:rsid w:val="00022133"/>
    <w:rsid w:val="00022BE5"/>
    <w:rsid w:val="00035A88"/>
    <w:rsid w:val="00076B16"/>
    <w:rsid w:val="00080393"/>
    <w:rsid w:val="0009128C"/>
    <w:rsid w:val="00094ABD"/>
    <w:rsid w:val="00095F85"/>
    <w:rsid w:val="0009799A"/>
    <w:rsid w:val="000C4FB1"/>
    <w:rsid w:val="000D031E"/>
    <w:rsid w:val="000E36FD"/>
    <w:rsid w:val="000E500E"/>
    <w:rsid w:val="000F1D1C"/>
    <w:rsid w:val="000F585B"/>
    <w:rsid w:val="00100249"/>
    <w:rsid w:val="001012C9"/>
    <w:rsid w:val="00103E3F"/>
    <w:rsid w:val="0011388D"/>
    <w:rsid w:val="00114DFB"/>
    <w:rsid w:val="00116DF3"/>
    <w:rsid w:val="001253EC"/>
    <w:rsid w:val="0013244F"/>
    <w:rsid w:val="001473EB"/>
    <w:rsid w:val="0015406F"/>
    <w:rsid w:val="001542A8"/>
    <w:rsid w:val="00181781"/>
    <w:rsid w:val="00182651"/>
    <w:rsid w:val="001861E3"/>
    <w:rsid w:val="001A377C"/>
    <w:rsid w:val="001D6A63"/>
    <w:rsid w:val="001F566D"/>
    <w:rsid w:val="0020639F"/>
    <w:rsid w:val="00216E82"/>
    <w:rsid w:val="002415B1"/>
    <w:rsid w:val="00244D70"/>
    <w:rsid w:val="0024598A"/>
    <w:rsid w:val="0026003D"/>
    <w:rsid w:val="00260FC0"/>
    <w:rsid w:val="002662AD"/>
    <w:rsid w:val="00273CAC"/>
    <w:rsid w:val="002760B2"/>
    <w:rsid w:val="002762D8"/>
    <w:rsid w:val="002904F5"/>
    <w:rsid w:val="002953B7"/>
    <w:rsid w:val="002B6986"/>
    <w:rsid w:val="002C5297"/>
    <w:rsid w:val="002C64DC"/>
    <w:rsid w:val="002D5562"/>
    <w:rsid w:val="002E12C8"/>
    <w:rsid w:val="002E27B6"/>
    <w:rsid w:val="002E74A4"/>
    <w:rsid w:val="003033F8"/>
    <w:rsid w:val="00314FB3"/>
    <w:rsid w:val="00315D5D"/>
    <w:rsid w:val="00332C4B"/>
    <w:rsid w:val="00333E52"/>
    <w:rsid w:val="0034127C"/>
    <w:rsid w:val="003502D1"/>
    <w:rsid w:val="00361BC1"/>
    <w:rsid w:val="00366691"/>
    <w:rsid w:val="00373326"/>
    <w:rsid w:val="003B0D54"/>
    <w:rsid w:val="003B35B0"/>
    <w:rsid w:val="003C3569"/>
    <w:rsid w:val="003C3E4A"/>
    <w:rsid w:val="003C4F9F"/>
    <w:rsid w:val="003C60F1"/>
    <w:rsid w:val="003E65EE"/>
    <w:rsid w:val="00405395"/>
    <w:rsid w:val="00412141"/>
    <w:rsid w:val="004166DD"/>
    <w:rsid w:val="00421009"/>
    <w:rsid w:val="00422DF6"/>
    <w:rsid w:val="00424709"/>
    <w:rsid w:val="00424AD9"/>
    <w:rsid w:val="004301A4"/>
    <w:rsid w:val="00436CBB"/>
    <w:rsid w:val="00444132"/>
    <w:rsid w:val="004632F9"/>
    <w:rsid w:val="00465276"/>
    <w:rsid w:val="00473BED"/>
    <w:rsid w:val="00476541"/>
    <w:rsid w:val="00491F5E"/>
    <w:rsid w:val="004A5FFD"/>
    <w:rsid w:val="004A6D4D"/>
    <w:rsid w:val="004C01B2"/>
    <w:rsid w:val="004C027F"/>
    <w:rsid w:val="004D35CC"/>
    <w:rsid w:val="004E0D0A"/>
    <w:rsid w:val="004E1AA9"/>
    <w:rsid w:val="004E3EFC"/>
    <w:rsid w:val="004F09E8"/>
    <w:rsid w:val="004F1A28"/>
    <w:rsid w:val="004F1ED7"/>
    <w:rsid w:val="00502F76"/>
    <w:rsid w:val="00513F9A"/>
    <w:rsid w:val="005178A7"/>
    <w:rsid w:val="005407AA"/>
    <w:rsid w:val="00540E8A"/>
    <w:rsid w:val="00543EF2"/>
    <w:rsid w:val="0055431B"/>
    <w:rsid w:val="00561C72"/>
    <w:rsid w:val="00562862"/>
    <w:rsid w:val="0056317A"/>
    <w:rsid w:val="00577172"/>
    <w:rsid w:val="00582AE7"/>
    <w:rsid w:val="00592544"/>
    <w:rsid w:val="005A28D4"/>
    <w:rsid w:val="005B34AF"/>
    <w:rsid w:val="005C3C9B"/>
    <w:rsid w:val="005C5F97"/>
    <w:rsid w:val="005C769C"/>
    <w:rsid w:val="005E64D2"/>
    <w:rsid w:val="005F0175"/>
    <w:rsid w:val="005F1580"/>
    <w:rsid w:val="005F3ED8"/>
    <w:rsid w:val="005F6B57"/>
    <w:rsid w:val="00610412"/>
    <w:rsid w:val="006264EB"/>
    <w:rsid w:val="006325AE"/>
    <w:rsid w:val="00637475"/>
    <w:rsid w:val="00650638"/>
    <w:rsid w:val="00655B49"/>
    <w:rsid w:val="00663A36"/>
    <w:rsid w:val="006705BE"/>
    <w:rsid w:val="00674045"/>
    <w:rsid w:val="00674B15"/>
    <w:rsid w:val="00681D83"/>
    <w:rsid w:val="006900C2"/>
    <w:rsid w:val="006903F7"/>
    <w:rsid w:val="00695E89"/>
    <w:rsid w:val="006B2AE2"/>
    <w:rsid w:val="006B30A9"/>
    <w:rsid w:val="006B3700"/>
    <w:rsid w:val="006C2991"/>
    <w:rsid w:val="006E15ED"/>
    <w:rsid w:val="006E7D54"/>
    <w:rsid w:val="007008EE"/>
    <w:rsid w:val="0070267E"/>
    <w:rsid w:val="00704BA7"/>
    <w:rsid w:val="00706E32"/>
    <w:rsid w:val="00710D3B"/>
    <w:rsid w:val="007133C6"/>
    <w:rsid w:val="00720272"/>
    <w:rsid w:val="00731397"/>
    <w:rsid w:val="0073604E"/>
    <w:rsid w:val="00751DC0"/>
    <w:rsid w:val="007546AF"/>
    <w:rsid w:val="00765934"/>
    <w:rsid w:val="0077451B"/>
    <w:rsid w:val="00776435"/>
    <w:rsid w:val="00777FAE"/>
    <w:rsid w:val="007830AC"/>
    <w:rsid w:val="00785D91"/>
    <w:rsid w:val="007A3228"/>
    <w:rsid w:val="007B6948"/>
    <w:rsid w:val="007E373C"/>
    <w:rsid w:val="007F233D"/>
    <w:rsid w:val="008002CE"/>
    <w:rsid w:val="00810A86"/>
    <w:rsid w:val="0081675C"/>
    <w:rsid w:val="008210CB"/>
    <w:rsid w:val="00834A6B"/>
    <w:rsid w:val="00836161"/>
    <w:rsid w:val="00844F6C"/>
    <w:rsid w:val="00846BCF"/>
    <w:rsid w:val="00855CB1"/>
    <w:rsid w:val="00863629"/>
    <w:rsid w:val="00873066"/>
    <w:rsid w:val="0087651C"/>
    <w:rsid w:val="0087744F"/>
    <w:rsid w:val="00883C46"/>
    <w:rsid w:val="008866FE"/>
    <w:rsid w:val="00892D08"/>
    <w:rsid w:val="00893791"/>
    <w:rsid w:val="00894DA9"/>
    <w:rsid w:val="008A6A4F"/>
    <w:rsid w:val="008E3D2B"/>
    <w:rsid w:val="008E5A6D"/>
    <w:rsid w:val="008E7F44"/>
    <w:rsid w:val="008F32DF"/>
    <w:rsid w:val="008F3CFC"/>
    <w:rsid w:val="008F4D20"/>
    <w:rsid w:val="009053FF"/>
    <w:rsid w:val="00931E10"/>
    <w:rsid w:val="00940804"/>
    <w:rsid w:val="0094757D"/>
    <w:rsid w:val="00947A92"/>
    <w:rsid w:val="00951615"/>
    <w:rsid w:val="00951B25"/>
    <w:rsid w:val="0097268A"/>
    <w:rsid w:val="009737E4"/>
    <w:rsid w:val="009737EE"/>
    <w:rsid w:val="00983B74"/>
    <w:rsid w:val="00986124"/>
    <w:rsid w:val="00986A7F"/>
    <w:rsid w:val="0099004B"/>
    <w:rsid w:val="00990263"/>
    <w:rsid w:val="00997626"/>
    <w:rsid w:val="009A4CCC"/>
    <w:rsid w:val="009C0F26"/>
    <w:rsid w:val="009C2069"/>
    <w:rsid w:val="009D1E80"/>
    <w:rsid w:val="009E4B94"/>
    <w:rsid w:val="00A0413A"/>
    <w:rsid w:val="00A46697"/>
    <w:rsid w:val="00A676C2"/>
    <w:rsid w:val="00A72AB4"/>
    <w:rsid w:val="00A91462"/>
    <w:rsid w:val="00A91DA5"/>
    <w:rsid w:val="00A95AAF"/>
    <w:rsid w:val="00A97F6A"/>
    <w:rsid w:val="00AA00CB"/>
    <w:rsid w:val="00AA0D2C"/>
    <w:rsid w:val="00AA4E87"/>
    <w:rsid w:val="00AB039F"/>
    <w:rsid w:val="00AB4582"/>
    <w:rsid w:val="00AD5F89"/>
    <w:rsid w:val="00AE1942"/>
    <w:rsid w:val="00AF1D02"/>
    <w:rsid w:val="00B00D92"/>
    <w:rsid w:val="00B0422A"/>
    <w:rsid w:val="00B06E2B"/>
    <w:rsid w:val="00B13A10"/>
    <w:rsid w:val="00B24E70"/>
    <w:rsid w:val="00B30C0E"/>
    <w:rsid w:val="00B539F7"/>
    <w:rsid w:val="00B57154"/>
    <w:rsid w:val="00B575CA"/>
    <w:rsid w:val="00B65355"/>
    <w:rsid w:val="00B97059"/>
    <w:rsid w:val="00BB1B90"/>
    <w:rsid w:val="00BB4255"/>
    <w:rsid w:val="00BC26F7"/>
    <w:rsid w:val="00BE2A74"/>
    <w:rsid w:val="00BE762F"/>
    <w:rsid w:val="00BF0D57"/>
    <w:rsid w:val="00BF6E5B"/>
    <w:rsid w:val="00BF6F1B"/>
    <w:rsid w:val="00C0433E"/>
    <w:rsid w:val="00C357EF"/>
    <w:rsid w:val="00C41E04"/>
    <w:rsid w:val="00C42D53"/>
    <w:rsid w:val="00C439CB"/>
    <w:rsid w:val="00C64739"/>
    <w:rsid w:val="00CA0183"/>
    <w:rsid w:val="00CA0A7D"/>
    <w:rsid w:val="00CA3D00"/>
    <w:rsid w:val="00CA4E77"/>
    <w:rsid w:val="00CA5518"/>
    <w:rsid w:val="00CB1FD6"/>
    <w:rsid w:val="00CB3EFE"/>
    <w:rsid w:val="00CB4E7C"/>
    <w:rsid w:val="00CC1DC0"/>
    <w:rsid w:val="00CC209F"/>
    <w:rsid w:val="00CC6322"/>
    <w:rsid w:val="00CC6916"/>
    <w:rsid w:val="00CE5168"/>
    <w:rsid w:val="00CE57E0"/>
    <w:rsid w:val="00CF0CD6"/>
    <w:rsid w:val="00D23C1F"/>
    <w:rsid w:val="00D273BA"/>
    <w:rsid w:val="00D27D0E"/>
    <w:rsid w:val="00D3752F"/>
    <w:rsid w:val="00D53670"/>
    <w:rsid w:val="00D577CE"/>
    <w:rsid w:val="00D74908"/>
    <w:rsid w:val="00D87C66"/>
    <w:rsid w:val="00D96141"/>
    <w:rsid w:val="00DB31AF"/>
    <w:rsid w:val="00DB335E"/>
    <w:rsid w:val="00DC246F"/>
    <w:rsid w:val="00DC5958"/>
    <w:rsid w:val="00DC61BD"/>
    <w:rsid w:val="00DD1936"/>
    <w:rsid w:val="00DE2B28"/>
    <w:rsid w:val="00DF1EC4"/>
    <w:rsid w:val="00DF2024"/>
    <w:rsid w:val="00E10AC0"/>
    <w:rsid w:val="00E15E12"/>
    <w:rsid w:val="00E249CD"/>
    <w:rsid w:val="00E5238C"/>
    <w:rsid w:val="00E53EE9"/>
    <w:rsid w:val="00E73808"/>
    <w:rsid w:val="00E9405E"/>
    <w:rsid w:val="00EA1871"/>
    <w:rsid w:val="00EC395C"/>
    <w:rsid w:val="00ED6EC5"/>
    <w:rsid w:val="00EF474E"/>
    <w:rsid w:val="00EF7168"/>
    <w:rsid w:val="00F0152B"/>
    <w:rsid w:val="00F04788"/>
    <w:rsid w:val="00F233E7"/>
    <w:rsid w:val="00F2359C"/>
    <w:rsid w:val="00F34529"/>
    <w:rsid w:val="00F4074D"/>
    <w:rsid w:val="00F448ED"/>
    <w:rsid w:val="00F710A5"/>
    <w:rsid w:val="00F73354"/>
    <w:rsid w:val="00F82257"/>
    <w:rsid w:val="00FE2C9C"/>
    <w:rsid w:val="00FF0506"/>
    <w:rsid w:val="00FF3A83"/>
    <w:rsid w:val="00FF591E"/>
    <w:rsid w:val="00FF7010"/>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51733"/>
  <w15:docId w15:val="{9EB008B2-2F15-494C-85CB-5D2BA4E71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character" w:styleId="Kommentarhenvisning">
    <w:name w:val="annotation reference"/>
    <w:basedOn w:val="Standardskrifttypeiafsnit"/>
    <w:uiPriority w:val="99"/>
    <w:semiHidden/>
    <w:unhideWhenUsed/>
    <w:rsid w:val="000F1D1C"/>
    <w:rPr>
      <w:sz w:val="16"/>
      <w:szCs w:val="16"/>
    </w:rPr>
  </w:style>
  <w:style w:type="paragraph" w:styleId="Kommentartekst">
    <w:name w:val="annotation text"/>
    <w:basedOn w:val="Normal"/>
    <w:link w:val="KommentartekstTegn"/>
    <w:uiPriority w:val="99"/>
    <w:semiHidden/>
    <w:unhideWhenUsed/>
    <w:rsid w:val="000F1D1C"/>
    <w:pPr>
      <w:spacing w:line="240" w:lineRule="auto"/>
    </w:pPr>
  </w:style>
  <w:style w:type="character" w:customStyle="1" w:styleId="KommentartekstTegn">
    <w:name w:val="Kommentartekst Tegn"/>
    <w:basedOn w:val="Standardskrifttypeiafsnit"/>
    <w:link w:val="Kommentartekst"/>
    <w:uiPriority w:val="99"/>
    <w:semiHidden/>
    <w:rsid w:val="000F1D1C"/>
  </w:style>
  <w:style w:type="paragraph" w:styleId="Kommentaremne">
    <w:name w:val="annotation subject"/>
    <w:basedOn w:val="Kommentartekst"/>
    <w:next w:val="Kommentartekst"/>
    <w:link w:val="KommentaremneTegn"/>
    <w:uiPriority w:val="99"/>
    <w:semiHidden/>
    <w:unhideWhenUsed/>
    <w:rsid w:val="000F1D1C"/>
    <w:rPr>
      <w:b/>
      <w:bCs/>
    </w:rPr>
  </w:style>
  <w:style w:type="character" w:customStyle="1" w:styleId="KommentaremneTegn">
    <w:name w:val="Kommentaremne Tegn"/>
    <w:basedOn w:val="KommentartekstTegn"/>
    <w:link w:val="Kommentaremne"/>
    <w:uiPriority w:val="99"/>
    <w:semiHidden/>
    <w:rsid w:val="000F1D1C"/>
    <w:rPr>
      <w:b/>
      <w:bCs/>
    </w:rPr>
  </w:style>
  <w:style w:type="paragraph" w:styleId="Markeringsbobletekst">
    <w:name w:val="Balloon Text"/>
    <w:basedOn w:val="Normal"/>
    <w:link w:val="MarkeringsbobletekstTegn"/>
    <w:uiPriority w:val="99"/>
    <w:semiHidden/>
    <w:unhideWhenUsed/>
    <w:rsid w:val="000F1D1C"/>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F1D1C"/>
    <w:rPr>
      <w:rFonts w:ascii="Segoe UI" w:hAnsi="Segoe UI" w:cs="Segoe UI"/>
      <w:sz w:val="18"/>
      <w:szCs w:val="18"/>
    </w:rPr>
  </w:style>
  <w:style w:type="paragraph" w:styleId="Listeafsnit">
    <w:name w:val="List Paragraph"/>
    <w:basedOn w:val="Normal"/>
    <w:uiPriority w:val="34"/>
    <w:qFormat/>
    <w:rsid w:val="006705BE"/>
    <w:pPr>
      <w:spacing w:line="240" w:lineRule="auto"/>
      <w:ind w:left="720"/>
    </w:pPr>
    <w:rPr>
      <w:rFonts w:ascii="Calibri" w:hAnsi="Calibri" w:cs="Calibri"/>
      <w:sz w:val="22"/>
      <w:szCs w:val="22"/>
    </w:rPr>
  </w:style>
  <w:style w:type="character" w:styleId="Hyperlink">
    <w:name w:val="Hyperlink"/>
    <w:basedOn w:val="Standardskrifttypeiafsnit"/>
    <w:uiPriority w:val="21"/>
    <w:unhideWhenUsed/>
    <w:rsid w:val="00883C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75254">
      <w:bodyDiv w:val="1"/>
      <w:marLeft w:val="0"/>
      <w:marRight w:val="0"/>
      <w:marTop w:val="0"/>
      <w:marBottom w:val="0"/>
      <w:divBdr>
        <w:top w:val="none" w:sz="0" w:space="0" w:color="auto"/>
        <w:left w:val="none" w:sz="0" w:space="0" w:color="auto"/>
        <w:bottom w:val="none" w:sz="0" w:space="0" w:color="auto"/>
        <w:right w:val="none" w:sz="0" w:space="0" w:color="auto"/>
      </w:divBdr>
    </w:div>
    <w:div w:id="830173877">
      <w:bodyDiv w:val="1"/>
      <w:marLeft w:val="0"/>
      <w:marRight w:val="0"/>
      <w:marTop w:val="0"/>
      <w:marBottom w:val="0"/>
      <w:divBdr>
        <w:top w:val="none" w:sz="0" w:space="0" w:color="auto"/>
        <w:left w:val="none" w:sz="0" w:space="0" w:color="auto"/>
        <w:bottom w:val="none" w:sz="0" w:space="0" w:color="auto"/>
        <w:right w:val="none" w:sz="0" w:space="0" w:color="auto"/>
      </w:divBdr>
    </w:div>
    <w:div w:id="1237127731">
      <w:bodyDiv w:val="1"/>
      <w:marLeft w:val="0"/>
      <w:marRight w:val="0"/>
      <w:marTop w:val="0"/>
      <w:marBottom w:val="0"/>
      <w:divBdr>
        <w:top w:val="none" w:sz="0" w:space="0" w:color="auto"/>
        <w:left w:val="none" w:sz="0" w:space="0" w:color="auto"/>
        <w:bottom w:val="none" w:sz="0" w:space="0" w:color="auto"/>
        <w:right w:val="none" w:sz="0" w:space="0" w:color="auto"/>
      </w:divBdr>
    </w:div>
    <w:div w:id="1249849907">
      <w:bodyDiv w:val="1"/>
      <w:marLeft w:val="0"/>
      <w:marRight w:val="0"/>
      <w:marTop w:val="0"/>
      <w:marBottom w:val="0"/>
      <w:divBdr>
        <w:top w:val="none" w:sz="0" w:space="0" w:color="auto"/>
        <w:left w:val="none" w:sz="0" w:space="0" w:color="auto"/>
        <w:bottom w:val="none" w:sz="0" w:space="0" w:color="auto"/>
        <w:right w:val="none" w:sz="0" w:space="0" w:color="auto"/>
      </w:divBdr>
    </w:div>
    <w:div w:id="1305505744">
      <w:bodyDiv w:val="1"/>
      <w:marLeft w:val="0"/>
      <w:marRight w:val="0"/>
      <w:marTop w:val="0"/>
      <w:marBottom w:val="0"/>
      <w:divBdr>
        <w:top w:val="none" w:sz="0" w:space="0" w:color="auto"/>
        <w:left w:val="none" w:sz="0" w:space="0" w:color="auto"/>
        <w:bottom w:val="none" w:sz="0" w:space="0" w:color="auto"/>
        <w:right w:val="none" w:sz="0" w:space="0" w:color="auto"/>
      </w:divBdr>
    </w:div>
    <w:div w:id="1493334163">
      <w:bodyDiv w:val="1"/>
      <w:marLeft w:val="0"/>
      <w:marRight w:val="0"/>
      <w:marTop w:val="0"/>
      <w:marBottom w:val="0"/>
      <w:divBdr>
        <w:top w:val="none" w:sz="0" w:space="0" w:color="auto"/>
        <w:left w:val="none" w:sz="0" w:space="0" w:color="auto"/>
        <w:bottom w:val="none" w:sz="0" w:space="0" w:color="auto"/>
        <w:right w:val="none" w:sz="0" w:space="0" w:color="auto"/>
      </w:divBdr>
    </w:div>
    <w:div w:id="1766920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andicap.dk/nyheder/dh-finansloven-skal-vaere-startskuddet-til-ny-plan-paa-handicapomraadet"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politisk%20notat%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2E26CE57225340B4B5FC519225089C" ma:contentTypeVersion="0" ma:contentTypeDescription="Create a new document." ma:contentTypeScope="" ma:versionID="620a5d1c342061bb94720690b267ff99">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8E0657-616A-4A92-A7D2-2834AA004E2F}">
  <ds:schemaRefs>
    <ds:schemaRef ds:uri="http://schemas.microsoft.com/sharepoint/v3/contenttype/forms"/>
  </ds:schemaRefs>
</ds:datastoreItem>
</file>

<file path=customXml/itemProps2.xml><?xml version="1.0" encoding="utf-8"?>
<ds:datastoreItem xmlns:ds="http://schemas.openxmlformats.org/officeDocument/2006/customXml" ds:itemID="{57C7A896-0239-4DB8-81D4-AA21D5B222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B8A2475-4BEF-4DE7-8589-7984F7D0ED8D}">
  <ds:schemaRefs>
    <ds:schemaRef ds:uri="http://schemas.microsoft.com/office/2006/documentManagement/types"/>
    <ds:schemaRef ds:uri="http://schemas.microsoft.com/office/2006/metadata/properties"/>
    <ds:schemaRef ds:uri="http://purl.org/dc/terms/"/>
    <ds:schemaRef ds:uri="http://www.w3.org/XML/1998/namespace"/>
    <ds:schemaRef ds:uri="http://purl.org/dc/elements/1.1/"/>
    <ds:schemaRef ds:uri="http://purl.org/dc/dcmitype/"/>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B3877ADD-3352-4EA7-9B33-AE3109437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politisk notat ny</Template>
  <TotalTime>1</TotalTime>
  <Pages>3</Pages>
  <Words>1110</Words>
  <Characters>6778</Characters>
  <Application>Microsoft Office Word</Application>
  <DocSecurity>0</DocSecurity>
  <Lines>56</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7873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Christian Lildholdt Jensen</cp:lastModifiedBy>
  <cp:revision>2</cp:revision>
  <dcterms:created xsi:type="dcterms:W3CDTF">2021-09-08T07:53:00Z</dcterms:created>
  <dcterms:modified xsi:type="dcterms:W3CDTF">2021-09-08T07:53:00Z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0x010100CF2E26CE57225340B4B5FC519225089C</vt:lpwstr>
  </property>
  <property fmtid="{D5CDD505-2E9C-101B-9397-08002B2CF9AE}" pid="3" name="TeamShareLastOpen">
    <vt:lpwstr>08-09-2021 09:52:55</vt:lpwstr>
  </property>
</Properties>
</file>