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544DF1" w:rsidRPr="00DE1583" w14:paraId="6059AAE7" w14:textId="77777777" w:rsidTr="00260FC0">
        <w:trPr>
          <w:trHeight w:hRule="exact" w:val="3062"/>
        </w:trPr>
        <w:tc>
          <w:tcPr>
            <w:tcW w:w="7371" w:type="dxa"/>
          </w:tcPr>
          <w:p w14:paraId="4E186A92" w14:textId="77777777" w:rsidR="008D4691" w:rsidRDefault="003B7C93" w:rsidP="00C75409">
            <w:pPr>
              <w:pStyle w:val="ModtagerAdresse"/>
            </w:pPr>
            <w:bookmarkStart w:id="0" w:name="By"/>
            <w:bookmarkStart w:id="1" w:name="_GoBack"/>
            <w:bookmarkEnd w:id="0"/>
            <w:bookmarkEnd w:id="1"/>
            <w:r>
              <w:t>Til: Social- og Indenrigsministeriet</w:t>
            </w:r>
          </w:p>
          <w:p w14:paraId="7EE9262A" w14:textId="77777777" w:rsidR="00DE1583" w:rsidRDefault="00DE1583" w:rsidP="00C75409">
            <w:pPr>
              <w:pStyle w:val="ModtagerAdresse"/>
            </w:pPr>
          </w:p>
          <w:p w14:paraId="0DA55D87" w14:textId="77777777" w:rsidR="00DE1583" w:rsidRDefault="00DE1583" w:rsidP="00DE1583">
            <w:pPr>
              <w:pStyle w:val="ModtagerAdresse"/>
            </w:pPr>
            <w:r>
              <w:t xml:space="preserve">Att.: lbpo@sim.dk </w:t>
            </w:r>
          </w:p>
          <w:p w14:paraId="5FFC3976" w14:textId="77777777" w:rsidR="00DE1583" w:rsidRPr="00DE1583" w:rsidRDefault="00DE1583" w:rsidP="00DE1583">
            <w:pPr>
              <w:pStyle w:val="ModtagerAdresse"/>
              <w:rPr>
                <w:lang w:val="en-US"/>
              </w:rPr>
            </w:pPr>
            <w:r w:rsidRPr="00DE1583">
              <w:rPr>
                <w:lang w:val="en-US"/>
              </w:rPr>
              <w:t>cc.: p-handicap@sim.dk</w:t>
            </w:r>
          </w:p>
          <w:p w14:paraId="6059AAE6" w14:textId="144CC3B2" w:rsidR="00DE1583" w:rsidRPr="00DE1583" w:rsidRDefault="00DE1583" w:rsidP="00DE1583">
            <w:pPr>
              <w:pStyle w:val="ModtagerAdresse"/>
              <w:rPr>
                <w:lang w:val="en-US"/>
              </w:rPr>
            </w:pPr>
          </w:p>
        </w:tc>
      </w:tr>
    </w:tbl>
    <w:p w14:paraId="6059AAE8" w14:textId="413A25BA" w:rsidR="006A09C5" w:rsidRPr="00DB6858" w:rsidRDefault="00BB4867" w:rsidP="00DB6858">
      <w:pPr>
        <w:pStyle w:val="Overskrift1"/>
      </w:pPr>
      <w:bookmarkStart w:id="2" w:name="Overskrift"/>
      <w:r>
        <w:t>DH høringssvar over forslag til lov om ændring af lov om forbud mod forskelsbehandling på grund af handicap</w:t>
      </w:r>
      <w:bookmarkEnd w:id="2"/>
    </w:p>
    <w:p w14:paraId="6059AAE9" w14:textId="45AB3473" w:rsidR="002758E0" w:rsidRPr="006061B6" w:rsidRDefault="00D604EF" w:rsidP="004F1ED7">
      <w:pPr>
        <w:rPr>
          <w:rStyle w:val="Underoverskrift"/>
          <w:sz w:val="22"/>
          <w:szCs w:val="22"/>
        </w:rPr>
      </w:pPr>
      <w:r w:rsidRPr="006061B6">
        <w:rPr>
          <w:rStyle w:val="Underoverskrift"/>
          <w:sz w:val="22"/>
          <w:szCs w:val="22"/>
        </w:rPr>
        <w:t>G</w:t>
      </w:r>
      <w:r w:rsidR="004B7BC2" w:rsidRPr="006061B6">
        <w:rPr>
          <w:rStyle w:val="Underoverskrift"/>
          <w:sz w:val="22"/>
          <w:szCs w:val="22"/>
        </w:rPr>
        <w:t>enerelle bemærkninger</w:t>
      </w:r>
    </w:p>
    <w:p w14:paraId="67A03A12" w14:textId="77777777" w:rsidR="004B7BC2" w:rsidRDefault="004B7BC2" w:rsidP="004F1ED7">
      <w:pPr>
        <w:rPr>
          <w:rStyle w:val="Underoverskrift"/>
          <w:rFonts w:eastAsiaTheme="majorEastAsia" w:cstheme="majorBidi"/>
          <w:bCs/>
          <w:spacing w:val="4"/>
        </w:rPr>
      </w:pPr>
    </w:p>
    <w:p w14:paraId="7926A924" w14:textId="0E00B434" w:rsidR="00141B49" w:rsidRDefault="00AA554E" w:rsidP="00DB6858">
      <w:r>
        <w:t xml:space="preserve">Danske Handicaporganisationer (DH) </w:t>
      </w:r>
      <w:r w:rsidR="00141B49">
        <w:t xml:space="preserve">takker for muligheden for at komme med bemærkninger. </w:t>
      </w:r>
    </w:p>
    <w:p w14:paraId="4C0DE669" w14:textId="77777777" w:rsidR="004B7BC2" w:rsidRDefault="004B7BC2" w:rsidP="00DB6858"/>
    <w:p w14:paraId="55D84742" w14:textId="06CF455A" w:rsidR="004C358B" w:rsidRDefault="004C358B" w:rsidP="004C358B">
      <w:r w:rsidRPr="004C358B">
        <w:t xml:space="preserve">DH finder det positivt, at rimelig </w:t>
      </w:r>
      <w:r w:rsidR="00086A83">
        <w:t xml:space="preserve">individuel </w:t>
      </w:r>
      <w:r w:rsidRPr="004C358B">
        <w:t xml:space="preserve">tilpasning for børn med handicap i kommunale dagtilbud og </w:t>
      </w:r>
      <w:r w:rsidR="00105C01">
        <w:t>folke</w:t>
      </w:r>
      <w:r w:rsidRPr="004C358B">
        <w:t xml:space="preserve">skoler sikres med dette lovforslag. </w:t>
      </w:r>
    </w:p>
    <w:p w14:paraId="0D4ADA8D" w14:textId="1B38F607" w:rsidR="004C358B" w:rsidRDefault="004C358B" w:rsidP="004C358B"/>
    <w:p w14:paraId="27EE575B" w14:textId="7AC94DC5" w:rsidR="003B7C93" w:rsidRDefault="003B7C93" w:rsidP="003B7C93">
      <w:r>
        <w:t xml:space="preserve">Men </w:t>
      </w:r>
      <w:r w:rsidRPr="003B7C93">
        <w:t xml:space="preserve">Danmark er ifølge FN’s Handicapkonvention </w:t>
      </w:r>
      <w:r>
        <w:t>f</w:t>
      </w:r>
      <w:r w:rsidRPr="003B7C93">
        <w:t>orpligtet til at forbyde forskelsbehandling af mennesker med handicap og indføre ret til rimelig tilpasning på alle samfunds</w:t>
      </w:r>
      <w:r>
        <w:t xml:space="preserve">områder – her og nu. </w:t>
      </w:r>
    </w:p>
    <w:p w14:paraId="5AA8BB23" w14:textId="77777777" w:rsidR="003B7C93" w:rsidRPr="003B7C93" w:rsidRDefault="003B7C93" w:rsidP="003B7C93"/>
    <w:p w14:paraId="73433518" w14:textId="106C8B00" w:rsidR="004C358B" w:rsidRDefault="004C358B" w:rsidP="004C358B">
      <w:r>
        <w:t xml:space="preserve">DH </w:t>
      </w:r>
      <w:r w:rsidR="00CC771A">
        <w:t>mener</w:t>
      </w:r>
      <w:r w:rsidR="003B7C93">
        <w:t xml:space="preserve"> derfor, at lovforslaget ikke er vidtgående nok. P</w:t>
      </w:r>
      <w:r w:rsidR="00105C01">
        <w:t xml:space="preserve">ligten til </w:t>
      </w:r>
      <w:r>
        <w:t xml:space="preserve">rimelig tilpasning </w:t>
      </w:r>
      <w:r w:rsidR="003B7C93">
        <w:t xml:space="preserve">skal </w:t>
      </w:r>
      <w:r>
        <w:t xml:space="preserve">indføres </w:t>
      </w:r>
      <w:r w:rsidR="00105C01">
        <w:t xml:space="preserve">på </w:t>
      </w:r>
      <w:r>
        <w:t xml:space="preserve">andre </w:t>
      </w:r>
      <w:r w:rsidR="00105C01">
        <w:t xml:space="preserve">områder af samfundet. </w:t>
      </w:r>
      <w:r>
        <w:t xml:space="preserve"> </w:t>
      </w:r>
    </w:p>
    <w:p w14:paraId="1FDE0743" w14:textId="23C94991" w:rsidR="00540F6B" w:rsidRDefault="00540F6B" w:rsidP="004B7BC2"/>
    <w:p w14:paraId="7C180A4D" w14:textId="21F5B86E" w:rsidR="00540F6B" w:rsidRDefault="00540F6B" w:rsidP="004B7BC2">
      <w:r>
        <w:t>Offentlige myndigheder er allerede ifølge Handicapkonventionen underlagt pligt til</w:t>
      </w:r>
      <w:r w:rsidR="00A240BF">
        <w:t xml:space="preserve"> at yde</w:t>
      </w:r>
      <w:r w:rsidR="003B7C93">
        <w:t xml:space="preserve"> rimelig tilpasning. Derfor skal </w:t>
      </w:r>
      <w:r>
        <w:t xml:space="preserve">lovforslaget udvides </w:t>
      </w:r>
      <w:r w:rsidR="00CC771A">
        <w:t xml:space="preserve">til </w:t>
      </w:r>
      <w:r>
        <w:t>at omfatte offentlig</w:t>
      </w:r>
      <w:r w:rsidR="00783594">
        <w:t>e</w:t>
      </w:r>
      <w:r>
        <w:t xml:space="preserve"> myndigheder</w:t>
      </w:r>
      <w:r w:rsidR="00BB424D">
        <w:t xml:space="preserve">. </w:t>
      </w:r>
      <w:r w:rsidR="00783594">
        <w:t>Det vil sikre en mere effektiv håndhævelse af d</w:t>
      </w:r>
      <w:r w:rsidR="00A240BF">
        <w:t xml:space="preserve">en </w:t>
      </w:r>
      <w:r w:rsidR="00316E1B">
        <w:t>e</w:t>
      </w:r>
      <w:r w:rsidR="00A240BF">
        <w:t xml:space="preserve">ksisterende pligt til rimelig tilpasning. </w:t>
      </w:r>
    </w:p>
    <w:p w14:paraId="75AF314B" w14:textId="77777777" w:rsidR="00A60595" w:rsidRDefault="00A60595" w:rsidP="004B7BC2"/>
    <w:p w14:paraId="0658FC89" w14:textId="37464A71" w:rsidR="00F7425C" w:rsidRDefault="003B7C93" w:rsidP="00A60595">
      <w:r>
        <w:t xml:space="preserve">Som absolut minimum </w:t>
      </w:r>
      <w:r w:rsidR="00A60595">
        <w:t>bør lovforslaget også at omfatte private dagtilbud</w:t>
      </w:r>
      <w:r>
        <w:t xml:space="preserve"> og skoler</w:t>
      </w:r>
      <w:r w:rsidR="00A60595">
        <w:t>. DH</w:t>
      </w:r>
      <w:r w:rsidR="00F7425C">
        <w:t xml:space="preserve"> finder det uforståeligt, at </w:t>
      </w:r>
      <w:r w:rsidR="00A60595" w:rsidRPr="00A60595">
        <w:t xml:space="preserve">børn og unge med handicap </w:t>
      </w:r>
      <w:r w:rsidR="00793DD3">
        <w:t xml:space="preserve">i </w:t>
      </w:r>
      <w:r w:rsidR="00A60595" w:rsidRPr="00A60595">
        <w:t xml:space="preserve">private dagtilbud </w:t>
      </w:r>
      <w:r>
        <w:t>og skoler i</w:t>
      </w:r>
      <w:r w:rsidR="00F7425C">
        <w:t xml:space="preserve">kke </w:t>
      </w:r>
      <w:r>
        <w:t>ligestilles</w:t>
      </w:r>
      <w:r w:rsidR="00F7425C">
        <w:t xml:space="preserve"> med børn </w:t>
      </w:r>
      <w:r>
        <w:t xml:space="preserve">og unge </w:t>
      </w:r>
      <w:r w:rsidR="00F7425C">
        <w:t>i offent</w:t>
      </w:r>
      <w:r w:rsidR="00793DD3">
        <w:t>lige tilbud.</w:t>
      </w:r>
    </w:p>
    <w:p w14:paraId="28FDD0BE" w14:textId="77777777" w:rsidR="00F7425C" w:rsidRDefault="00F7425C" w:rsidP="00A60595"/>
    <w:p w14:paraId="3A34674E" w14:textId="0D862880" w:rsidR="004C358B" w:rsidRDefault="004C358B" w:rsidP="00CE0A7C">
      <w:r>
        <w:t xml:space="preserve">Derudover har DH en række specifikke bemærkninger til lovforslaget. </w:t>
      </w:r>
    </w:p>
    <w:p w14:paraId="60B8EA20" w14:textId="77777777" w:rsidR="00C70892" w:rsidRDefault="00C70892" w:rsidP="00961375">
      <w:pPr>
        <w:pStyle w:val="Overskrift3"/>
      </w:pPr>
    </w:p>
    <w:p w14:paraId="22A21C73" w14:textId="13CAA8C3" w:rsidR="004B7BC2" w:rsidRPr="006061B6" w:rsidRDefault="00BB7DD7" w:rsidP="00961375">
      <w:pPr>
        <w:pStyle w:val="Overskrift3"/>
      </w:pPr>
      <w:r w:rsidRPr="006061B6">
        <w:t xml:space="preserve">Baggrund om pligt til </w:t>
      </w:r>
      <w:r w:rsidR="00375A4A" w:rsidRPr="006061B6">
        <w:t>rimelig tilpasning</w:t>
      </w:r>
    </w:p>
    <w:p w14:paraId="402A340E" w14:textId="2BA348DD" w:rsidR="004B7BC2" w:rsidRPr="004B7BC2" w:rsidRDefault="004B7BC2" w:rsidP="004B7BC2">
      <w:pPr>
        <w:rPr>
          <w:rFonts w:eastAsia="Open Sans Light"/>
        </w:rPr>
      </w:pPr>
      <w:r w:rsidRPr="004B7BC2">
        <w:rPr>
          <w:rFonts w:eastAsia="Open Sans Light"/>
        </w:rPr>
        <w:t xml:space="preserve">Lov om </w:t>
      </w:r>
      <w:r w:rsidR="00793DD3">
        <w:rPr>
          <w:rFonts w:eastAsia="Open Sans Light"/>
        </w:rPr>
        <w:t xml:space="preserve">forbud mod </w:t>
      </w:r>
      <w:r w:rsidRPr="004B7BC2">
        <w:rPr>
          <w:rFonts w:eastAsia="Open Sans Light"/>
        </w:rPr>
        <w:t xml:space="preserve">forskelsbehandling på grund af handicap trådte i kraft den 1. juli 2018. Det er et klart fremskridt, at der nu er et forbud, der dækker al offentlig og privat virksomhed. </w:t>
      </w:r>
    </w:p>
    <w:p w14:paraId="2E1BD37B" w14:textId="77777777" w:rsidR="004B7BC2" w:rsidRPr="004B7BC2" w:rsidRDefault="004B7BC2" w:rsidP="004B7BC2">
      <w:pPr>
        <w:rPr>
          <w:rFonts w:eastAsia="Open Sans Light"/>
        </w:rPr>
      </w:pPr>
    </w:p>
    <w:p w14:paraId="7C8CD9B7" w14:textId="02C6069F" w:rsidR="004B7BC2" w:rsidRPr="004B7BC2" w:rsidRDefault="00BB7DD7" w:rsidP="004B7BC2">
      <w:pPr>
        <w:rPr>
          <w:rFonts w:eastAsia="Open Sans Light"/>
        </w:rPr>
      </w:pPr>
      <w:r>
        <w:rPr>
          <w:rFonts w:eastAsia="Open Sans Light"/>
        </w:rPr>
        <w:t xml:space="preserve">I </w:t>
      </w:r>
      <w:r w:rsidR="004B7BC2" w:rsidRPr="004B7BC2">
        <w:rPr>
          <w:rFonts w:eastAsia="Open Sans Light"/>
        </w:rPr>
        <w:t>§ 3 står der: ”Loven indebærer ikke pligt til rimelig tilpasning…...”</w:t>
      </w:r>
    </w:p>
    <w:p w14:paraId="42893EFC" w14:textId="77777777" w:rsidR="004B7BC2" w:rsidRPr="004B7BC2" w:rsidRDefault="004B7BC2" w:rsidP="004B7BC2">
      <w:pPr>
        <w:rPr>
          <w:rFonts w:eastAsia="Open Sans Light"/>
        </w:rPr>
      </w:pPr>
    </w:p>
    <w:p w14:paraId="2CF45E9C" w14:textId="44B27D8C" w:rsidR="004B7BC2" w:rsidRDefault="00CE7131" w:rsidP="00BB7DD7">
      <w:pPr>
        <w:rPr>
          <w:rFonts w:eastAsia="Open Sans Light"/>
        </w:rPr>
      </w:pPr>
      <w:r>
        <w:rPr>
          <w:rFonts w:eastAsia="Open Sans Light"/>
        </w:rPr>
        <w:t xml:space="preserve">Denne undtagelse i § 3 er </w:t>
      </w:r>
      <w:r w:rsidR="004B7BC2" w:rsidRPr="004B7BC2">
        <w:rPr>
          <w:rFonts w:eastAsia="Open Sans Light"/>
        </w:rPr>
        <w:t>problematisk</w:t>
      </w:r>
      <w:r>
        <w:rPr>
          <w:rFonts w:eastAsia="Open Sans Light"/>
        </w:rPr>
        <w:t xml:space="preserve">. </w:t>
      </w:r>
      <w:r w:rsidR="00BB7DD7">
        <w:rPr>
          <w:rFonts w:eastAsia="Open Sans Light"/>
        </w:rPr>
        <w:t>Ikke mindst fordi de</w:t>
      </w:r>
      <w:r>
        <w:rPr>
          <w:rFonts w:eastAsia="Open Sans Light"/>
        </w:rPr>
        <w:t>n</w:t>
      </w:r>
      <w:r w:rsidR="00BB7DD7">
        <w:rPr>
          <w:rFonts w:eastAsia="Open Sans Light"/>
        </w:rPr>
        <w:t xml:space="preserve"> strider </w:t>
      </w:r>
      <w:r w:rsidR="004B7BC2" w:rsidRPr="004B7BC2">
        <w:rPr>
          <w:rFonts w:eastAsia="Open Sans Light"/>
        </w:rPr>
        <w:t xml:space="preserve">mod FN’s Handicapkonvention. </w:t>
      </w:r>
      <w:r w:rsidR="000F322C" w:rsidRPr="000F322C">
        <w:rPr>
          <w:rFonts w:eastAsia="Open Sans Light"/>
        </w:rPr>
        <w:t xml:space="preserve">I </w:t>
      </w:r>
      <w:r w:rsidR="000F322C">
        <w:rPr>
          <w:rFonts w:eastAsia="Open Sans Light"/>
        </w:rPr>
        <w:t xml:space="preserve">konventionens </w:t>
      </w:r>
      <w:r w:rsidR="000F322C" w:rsidRPr="000F322C">
        <w:rPr>
          <w:rFonts w:eastAsia="Open Sans Light"/>
        </w:rPr>
        <w:t>artikel 2 slås fast, at nægtelse af rimelig tilpasning er diskrimination.</w:t>
      </w:r>
    </w:p>
    <w:p w14:paraId="0E8743B2" w14:textId="6214C56D" w:rsidR="00CE7131" w:rsidRDefault="00CE7131" w:rsidP="00BB7DD7">
      <w:pPr>
        <w:rPr>
          <w:rFonts w:eastAsia="Open Sans Light"/>
        </w:rPr>
      </w:pPr>
    </w:p>
    <w:p w14:paraId="4B808452" w14:textId="6412DCAC" w:rsidR="00CE7131" w:rsidRDefault="00316E1B" w:rsidP="00BB7DD7">
      <w:pPr>
        <w:rPr>
          <w:rFonts w:eastAsia="Open Sans Light"/>
        </w:rPr>
      </w:pPr>
      <w:r>
        <w:rPr>
          <w:rFonts w:eastAsia="Open Sans Light"/>
        </w:rPr>
        <w:t>Og i</w:t>
      </w:r>
      <w:r w:rsidR="00CE7131">
        <w:rPr>
          <w:rFonts w:eastAsia="Open Sans Light"/>
        </w:rPr>
        <w:t xml:space="preserve"> Handicapkonventionens artikel 5 om Lighed og ikke-diskrimination står der: </w:t>
      </w:r>
    </w:p>
    <w:p w14:paraId="6909555D" w14:textId="77777777" w:rsidR="00CE7131" w:rsidRDefault="00CE7131" w:rsidP="00BB7DD7">
      <w:pPr>
        <w:rPr>
          <w:rFonts w:eastAsia="Open Sans Light"/>
        </w:rPr>
      </w:pPr>
    </w:p>
    <w:p w14:paraId="601BB941" w14:textId="77777777" w:rsidR="00CE7131" w:rsidRDefault="00CE7131" w:rsidP="00BB7DD7">
      <w:pPr>
        <w:rPr>
          <w:rFonts w:eastAsia="Open Sans Light"/>
        </w:rPr>
      </w:pPr>
      <w:r>
        <w:rPr>
          <w:rFonts w:eastAsia="Open Sans Light"/>
        </w:rPr>
        <w:t>”3. Med henblik på at fremme lighed og afskaffe diskrimination skal deltagerstaterne tage alle passende skridt til at sikre, at der tilvejebringes rimelig tilpasning.”</w:t>
      </w:r>
    </w:p>
    <w:p w14:paraId="6988B99A" w14:textId="77777777" w:rsidR="00CE7131" w:rsidRDefault="00CE7131" w:rsidP="00BB7DD7">
      <w:pPr>
        <w:rPr>
          <w:rFonts w:eastAsia="Open Sans Light"/>
        </w:rPr>
      </w:pPr>
    </w:p>
    <w:p w14:paraId="4320AFD2" w14:textId="0E185766" w:rsidR="00BB7DD7" w:rsidRDefault="00BB7DD7" w:rsidP="004B7BC2">
      <w:pPr>
        <w:rPr>
          <w:rFonts w:eastAsia="Open Sans Light"/>
        </w:rPr>
      </w:pPr>
      <w:r>
        <w:rPr>
          <w:rFonts w:eastAsia="Open Sans Light"/>
        </w:rPr>
        <w:t xml:space="preserve">Danmark har pligt til at rette sin lovgivning til og forbyde diskrimination af mennesker med handicap. Da nægtelse af rimelig tilpasning er diskrimination, skal det også omfattes af lovgivningen. </w:t>
      </w:r>
    </w:p>
    <w:p w14:paraId="7051216A" w14:textId="3A711A1D" w:rsidR="00BB7DD7" w:rsidRDefault="00BB7DD7" w:rsidP="004B7BC2">
      <w:pPr>
        <w:rPr>
          <w:rFonts w:eastAsia="Open Sans Light"/>
        </w:rPr>
      </w:pPr>
    </w:p>
    <w:p w14:paraId="2003A679" w14:textId="299CD959" w:rsidR="00BB7DD7" w:rsidRDefault="00BB7DD7" w:rsidP="004B7BC2">
      <w:pPr>
        <w:rPr>
          <w:rFonts w:eastAsia="Open Sans Light"/>
        </w:rPr>
      </w:pPr>
      <w:r>
        <w:rPr>
          <w:rFonts w:eastAsia="Open Sans Light"/>
        </w:rPr>
        <w:t xml:space="preserve">Pligten til at forbyde diskrimination er umiddelbar, dvs. det skal ske med det samme, her og nu. </w:t>
      </w:r>
    </w:p>
    <w:p w14:paraId="63CF2FA8" w14:textId="77777777" w:rsidR="00552B38" w:rsidRPr="004B7BC2" w:rsidRDefault="00552B38" w:rsidP="004B7BC2">
      <w:pPr>
        <w:rPr>
          <w:rFonts w:eastAsia="Open Sans Light"/>
        </w:rPr>
      </w:pPr>
    </w:p>
    <w:p w14:paraId="445C73CF" w14:textId="7DDBADD2" w:rsidR="004B7BC2" w:rsidRPr="004B7BC2" w:rsidRDefault="004B7BC2" w:rsidP="004B7BC2">
      <w:pPr>
        <w:rPr>
          <w:rFonts w:eastAsia="Open Sans Light"/>
        </w:rPr>
      </w:pPr>
      <w:r w:rsidRPr="004B7BC2">
        <w:rPr>
          <w:rFonts w:eastAsia="Open Sans Light"/>
        </w:rPr>
        <w:t>Retten til rimelig tilpasning er ikke indskrænket til bestemte områder af samfundet</w:t>
      </w:r>
      <w:r w:rsidR="000F322C">
        <w:rPr>
          <w:rFonts w:eastAsia="Open Sans Light"/>
        </w:rPr>
        <w:t xml:space="preserve">. Den gælder </w:t>
      </w:r>
      <w:r w:rsidRPr="004B7BC2">
        <w:rPr>
          <w:rFonts w:eastAsia="Open Sans Light"/>
        </w:rPr>
        <w:t xml:space="preserve">universelt, dvs. på alle </w:t>
      </w:r>
      <w:r w:rsidR="000F322C">
        <w:rPr>
          <w:rFonts w:eastAsia="Open Sans Light"/>
        </w:rPr>
        <w:t xml:space="preserve">samfundsområder: </w:t>
      </w:r>
      <w:r w:rsidRPr="004B7BC2">
        <w:rPr>
          <w:rFonts w:eastAsia="Open Sans Light"/>
        </w:rPr>
        <w:t>uddannelse, sundhed, socialområdet mv.</w:t>
      </w:r>
      <w:r w:rsidR="00BB7DD7">
        <w:rPr>
          <w:rFonts w:eastAsia="Open Sans Light"/>
        </w:rPr>
        <w:t xml:space="preserve">, og i forhold til alle rettigheder i Handicapkonventionen (lige ret til uddannelse, sundhed, politisk deltagelse, </w:t>
      </w:r>
      <w:r w:rsidR="00552B38">
        <w:rPr>
          <w:rFonts w:eastAsia="Open Sans Light"/>
        </w:rPr>
        <w:t>familieliv, beskyttelse mod vold, til at bestemme over eget liv mv.)</w:t>
      </w:r>
      <w:r w:rsidR="00793DD3">
        <w:rPr>
          <w:rFonts w:eastAsia="Open Sans Light"/>
        </w:rPr>
        <w:t>.</w:t>
      </w:r>
      <w:r w:rsidRPr="004B7BC2">
        <w:rPr>
          <w:rFonts w:eastAsia="Open Sans Light"/>
        </w:rPr>
        <w:t xml:space="preserve"> </w:t>
      </w:r>
    </w:p>
    <w:p w14:paraId="29D3A0F2" w14:textId="227ADB33" w:rsidR="004B7BC2" w:rsidRDefault="004B7BC2" w:rsidP="004B7BC2">
      <w:pPr>
        <w:rPr>
          <w:rFonts w:eastAsia="Open Sans Light"/>
        </w:rPr>
      </w:pPr>
    </w:p>
    <w:p w14:paraId="5E37EC3F" w14:textId="4734A5ED" w:rsidR="00CE7131" w:rsidRDefault="00BB424D" w:rsidP="004B7BC2">
      <w:pPr>
        <w:rPr>
          <w:rFonts w:eastAsia="Open Sans Light"/>
        </w:rPr>
      </w:pPr>
      <w:r>
        <w:rPr>
          <w:rFonts w:eastAsia="Open Sans Light"/>
        </w:rPr>
        <w:t>Når en stat har ratificeret Handicapkonventionen, så har de of</w:t>
      </w:r>
      <w:r w:rsidR="00CE7131">
        <w:rPr>
          <w:rFonts w:eastAsia="Open Sans Light"/>
        </w:rPr>
        <w:t>fentlige myndigheder pligt til at efterleve Handicapkonventionen</w:t>
      </w:r>
      <w:r w:rsidR="001A6850">
        <w:rPr>
          <w:rFonts w:eastAsia="Open Sans Light"/>
        </w:rPr>
        <w:t xml:space="preserve">. </w:t>
      </w:r>
      <w:r w:rsidR="00CE7131">
        <w:rPr>
          <w:rFonts w:eastAsia="Open Sans Light"/>
        </w:rPr>
        <w:t>De</w:t>
      </w:r>
      <w:r w:rsidR="001A6850">
        <w:rPr>
          <w:rFonts w:eastAsia="Open Sans Light"/>
        </w:rPr>
        <w:t xml:space="preserve"> har dermed pligt til at </w:t>
      </w:r>
      <w:r w:rsidR="005336CE">
        <w:rPr>
          <w:rFonts w:eastAsia="Open Sans Light"/>
        </w:rPr>
        <w:t xml:space="preserve">sikre </w:t>
      </w:r>
      <w:r w:rsidR="001A6850">
        <w:rPr>
          <w:rFonts w:eastAsia="Open Sans Light"/>
        </w:rPr>
        <w:t>rimelig tilpasning</w:t>
      </w:r>
      <w:r w:rsidR="005336CE">
        <w:rPr>
          <w:rFonts w:eastAsia="Open Sans Light"/>
        </w:rPr>
        <w:t xml:space="preserve"> over for </w:t>
      </w:r>
      <w:r w:rsidR="001A6850">
        <w:rPr>
          <w:rFonts w:eastAsia="Open Sans Light"/>
        </w:rPr>
        <w:t>borger</w:t>
      </w:r>
      <w:r w:rsidR="005336CE">
        <w:rPr>
          <w:rFonts w:eastAsia="Open Sans Light"/>
        </w:rPr>
        <w:t>e</w:t>
      </w:r>
      <w:r w:rsidR="001A6850">
        <w:rPr>
          <w:rFonts w:eastAsia="Open Sans Light"/>
        </w:rPr>
        <w:t xml:space="preserve"> med handicap</w:t>
      </w:r>
      <w:r w:rsidR="005336CE">
        <w:rPr>
          <w:rFonts w:eastAsia="Open Sans Light"/>
        </w:rPr>
        <w:t xml:space="preserve"> –</w:t>
      </w:r>
      <w:r w:rsidR="00961375">
        <w:rPr>
          <w:rFonts w:eastAsia="Open Sans Light"/>
        </w:rPr>
        <w:t xml:space="preserve"> fx når de træffer afgørelser.</w:t>
      </w:r>
    </w:p>
    <w:p w14:paraId="53179B49" w14:textId="77777777" w:rsidR="001A6850" w:rsidRPr="004B7BC2" w:rsidRDefault="001A6850" w:rsidP="004B7BC2">
      <w:pPr>
        <w:rPr>
          <w:rFonts w:eastAsia="Open Sans Light"/>
        </w:rPr>
      </w:pPr>
    </w:p>
    <w:p w14:paraId="253395CA" w14:textId="66E1E624" w:rsidR="001A6850" w:rsidRPr="001A6850" w:rsidRDefault="001A6850" w:rsidP="001A6850">
      <w:pPr>
        <w:rPr>
          <w:rFonts w:eastAsia="Open Sans Light"/>
        </w:rPr>
      </w:pPr>
      <w:r w:rsidRPr="001A6850">
        <w:rPr>
          <w:rFonts w:eastAsia="Open Sans Light"/>
        </w:rPr>
        <w:t>Det er en udbredt misforståelse, at rimelig tilpasning indebærer større krav om ombygninger elle</w:t>
      </w:r>
      <w:r w:rsidR="00961375">
        <w:rPr>
          <w:rFonts w:eastAsia="Open Sans Light"/>
        </w:rPr>
        <w:t>r installation af elevatorer eller lignende</w:t>
      </w:r>
      <w:r w:rsidRPr="001A6850">
        <w:rPr>
          <w:rFonts w:eastAsia="Open Sans Light"/>
        </w:rPr>
        <w:t xml:space="preserve">. Ofte sker der en forveksling med generelle krav om tilgængelighed. Rimelig tilpasning er konkret, rettet mod en enkeltperson i en given situation. Rimelig tilpasning behøver ikke være dyr, </w:t>
      </w:r>
      <w:r>
        <w:rPr>
          <w:rFonts w:eastAsia="Open Sans Light"/>
        </w:rPr>
        <w:t>hvilket også er forudsætningen for l</w:t>
      </w:r>
      <w:r w:rsidRPr="001A6850">
        <w:rPr>
          <w:rFonts w:eastAsia="Open Sans Light"/>
        </w:rPr>
        <w:t>ovforslag</w:t>
      </w:r>
      <w:r>
        <w:rPr>
          <w:rFonts w:eastAsia="Open Sans Light"/>
        </w:rPr>
        <w:t>et</w:t>
      </w:r>
      <w:r w:rsidRPr="001A6850">
        <w:rPr>
          <w:rFonts w:eastAsia="Open Sans Light"/>
        </w:rPr>
        <w:t xml:space="preserve">. </w:t>
      </w:r>
    </w:p>
    <w:p w14:paraId="1FC96579" w14:textId="77777777" w:rsidR="001A6850" w:rsidRPr="004B7BC2" w:rsidRDefault="001A6850" w:rsidP="004B7BC2">
      <w:pPr>
        <w:rPr>
          <w:rFonts w:eastAsia="Open Sans Light"/>
        </w:rPr>
      </w:pPr>
    </w:p>
    <w:p w14:paraId="72FFFC01" w14:textId="3FBBBFC3" w:rsidR="004B7BC2" w:rsidRDefault="001A6850" w:rsidP="004B7BC2">
      <w:pPr>
        <w:rPr>
          <w:rFonts w:eastAsia="Open Sans Light"/>
        </w:rPr>
      </w:pPr>
      <w:r>
        <w:rPr>
          <w:rFonts w:eastAsia="Open Sans Light"/>
        </w:rPr>
        <w:t>In</w:t>
      </w:r>
      <w:r w:rsidR="004B7BC2" w:rsidRPr="004B7BC2">
        <w:rPr>
          <w:rFonts w:eastAsia="Open Sans Light"/>
        </w:rPr>
        <w:t xml:space="preserve">dførelse af </w:t>
      </w:r>
      <w:r>
        <w:rPr>
          <w:rFonts w:eastAsia="Open Sans Light"/>
        </w:rPr>
        <w:t xml:space="preserve">pligt til </w:t>
      </w:r>
      <w:r w:rsidR="004B7BC2" w:rsidRPr="004B7BC2">
        <w:rPr>
          <w:rFonts w:eastAsia="Open Sans Light"/>
        </w:rPr>
        <w:t xml:space="preserve">rimelig tilpasning </w:t>
      </w:r>
      <w:r>
        <w:rPr>
          <w:rFonts w:eastAsia="Open Sans Light"/>
        </w:rPr>
        <w:t xml:space="preserve">kan ses </w:t>
      </w:r>
      <w:r w:rsidR="004B7BC2" w:rsidRPr="004B7BC2">
        <w:rPr>
          <w:rFonts w:eastAsia="Open Sans Light"/>
        </w:rPr>
        <w:t xml:space="preserve">i sammenhæng med FN’s Verdensmål. Mål 10 handler om at mindske uligheden i - og mellem - verdens lande. Det skal gøres bl.a. ved at fjerne diskriminerende lovgivning over for personer med handicap (se mål 10.2 og 10.3). Indførelse af </w:t>
      </w:r>
      <w:r>
        <w:rPr>
          <w:rFonts w:eastAsia="Open Sans Light"/>
        </w:rPr>
        <w:t xml:space="preserve">en bredt dækkende </w:t>
      </w:r>
      <w:r w:rsidR="004B7BC2" w:rsidRPr="004B7BC2">
        <w:rPr>
          <w:rFonts w:eastAsia="Open Sans Light"/>
        </w:rPr>
        <w:t xml:space="preserve">pligt til rimelig tilpasning vil være et vigtigt bidrag til opfyldelsen af FN’s Verdensmål fra dansk side. </w:t>
      </w:r>
    </w:p>
    <w:p w14:paraId="3AB5A2B8" w14:textId="47BB0903" w:rsidR="003F6D15" w:rsidRDefault="003F6D15" w:rsidP="004B7BC2">
      <w:pPr>
        <w:rPr>
          <w:rFonts w:eastAsia="Open Sans Light"/>
        </w:rPr>
      </w:pPr>
    </w:p>
    <w:p w14:paraId="6D559406" w14:textId="6E8736B5" w:rsidR="003F6D15" w:rsidRPr="003F6D15" w:rsidRDefault="003F6D15" w:rsidP="004B7BC2">
      <w:pPr>
        <w:rPr>
          <w:rFonts w:eastAsia="Open Sans Light"/>
          <w:u w:val="single"/>
        </w:rPr>
      </w:pPr>
      <w:r w:rsidRPr="003F6D15">
        <w:rPr>
          <w:rFonts w:eastAsia="Open Sans Light"/>
          <w:u w:val="single"/>
        </w:rPr>
        <w:t xml:space="preserve">DH mener: </w:t>
      </w:r>
    </w:p>
    <w:p w14:paraId="544AB33E" w14:textId="7D204378" w:rsidR="003F6D15" w:rsidRDefault="003F6D15" w:rsidP="004B7BC2">
      <w:pPr>
        <w:rPr>
          <w:rFonts w:eastAsia="Open Sans Light"/>
        </w:rPr>
      </w:pPr>
    </w:p>
    <w:p w14:paraId="5FEF92B2" w14:textId="3F7194EC" w:rsidR="00C62BC3" w:rsidRPr="007F4AFE" w:rsidRDefault="003F6D15" w:rsidP="00BB424D">
      <w:pPr>
        <w:ind w:left="284"/>
        <w:rPr>
          <w:rFonts w:eastAsia="Open Sans Light"/>
        </w:rPr>
      </w:pPr>
      <w:r>
        <w:rPr>
          <w:rFonts w:eastAsia="Open Sans Light"/>
        </w:rPr>
        <w:lastRenderedPageBreak/>
        <w:t>Danmark har pligt til at indføre pligt til rimelig tilpasning</w:t>
      </w:r>
      <w:r w:rsidR="00DF4E1D">
        <w:rPr>
          <w:rFonts w:eastAsia="Open Sans Light"/>
        </w:rPr>
        <w:t xml:space="preserve">, der gælder bredt og ikke er </w:t>
      </w:r>
      <w:r>
        <w:rPr>
          <w:rFonts w:eastAsia="Open Sans Light"/>
        </w:rPr>
        <w:t xml:space="preserve">begrænset til bestemte sektorer af samfundet. </w:t>
      </w:r>
    </w:p>
    <w:p w14:paraId="6A86CCD1" w14:textId="77777777" w:rsidR="00C70892" w:rsidRDefault="00C70892" w:rsidP="001D21E5">
      <w:pPr>
        <w:pStyle w:val="Overskrift3"/>
      </w:pPr>
    </w:p>
    <w:p w14:paraId="1B824E0D" w14:textId="7E35A1A2" w:rsidR="00C62BC3" w:rsidRDefault="00C62BC3" w:rsidP="001D21E5">
      <w:pPr>
        <w:pStyle w:val="Overskrift3"/>
      </w:pPr>
      <w:r>
        <w:t>Lovens anvendelsesområde: Offentlige myndigheder bør være omfattet</w:t>
      </w:r>
    </w:p>
    <w:p w14:paraId="5C4DF7C2" w14:textId="76166533" w:rsidR="003B6A5F" w:rsidRDefault="00D10830" w:rsidP="003B6A5F">
      <w:r>
        <w:t>DH mener, at lovforslaget skal omfatte alle områder af samfundet. Hvis ikke der er politisk vilje til det, bør lovforslaget i hvert fald omfatte o</w:t>
      </w:r>
      <w:r w:rsidR="003B6A5F" w:rsidRPr="003B6A5F">
        <w:t>ffentlige myndigheder</w:t>
      </w:r>
      <w:r>
        <w:t>. Offentlige myndigheder</w:t>
      </w:r>
      <w:r w:rsidR="003B6A5F" w:rsidRPr="003B6A5F">
        <w:t xml:space="preserve"> – stat</w:t>
      </w:r>
      <w:r w:rsidR="00BB424D">
        <w:t xml:space="preserve">slige, </w:t>
      </w:r>
      <w:r w:rsidR="003B6A5F" w:rsidRPr="003B6A5F">
        <w:t>kommun</w:t>
      </w:r>
      <w:r w:rsidR="00BB424D">
        <w:t xml:space="preserve">ale og regionale - </w:t>
      </w:r>
      <w:r w:rsidR="003B6A5F" w:rsidRPr="003B6A5F">
        <w:t xml:space="preserve">har pligt til at efterleve Handicapkonventionen. De har dermed pligt til at foretage </w:t>
      </w:r>
      <w:r w:rsidR="00BB424D">
        <w:t xml:space="preserve">rimelig </w:t>
      </w:r>
      <w:r w:rsidR="00086A83">
        <w:t xml:space="preserve">individuel </w:t>
      </w:r>
      <w:r w:rsidR="00BB424D">
        <w:t xml:space="preserve">tilpasning i den virksomhed, de udøver. Det kan fx være, når de træffer afgørelser i en sag, der angår en borger med handicap. </w:t>
      </w:r>
    </w:p>
    <w:p w14:paraId="7553B757" w14:textId="0635F96A" w:rsidR="003B6A5F" w:rsidRDefault="003B6A5F" w:rsidP="003B6A5F"/>
    <w:p w14:paraId="5FADFE18" w14:textId="2B829914" w:rsidR="003B6A5F" w:rsidRDefault="003B6A5F" w:rsidP="003B6A5F">
      <w:r>
        <w:t xml:space="preserve">DH mener derfor, at offentlige </w:t>
      </w:r>
      <w:r w:rsidR="00BB424D">
        <w:t xml:space="preserve">myndigheder bør </w:t>
      </w:r>
      <w:r>
        <w:t xml:space="preserve">omfattes af lovforslaget. Det vil styrke håndhævelsen af den eksisterende pligt, hvis mennesker med handicap får adgang klage over manglende rimelig tilpasning.  </w:t>
      </w:r>
    </w:p>
    <w:p w14:paraId="1EA2466A" w14:textId="1D03CA85" w:rsidR="003B6A5F" w:rsidRDefault="003B6A5F" w:rsidP="003B6A5F"/>
    <w:p w14:paraId="357D0930" w14:textId="64BA8059" w:rsidR="003B6A5F" w:rsidRPr="003B6A5F" w:rsidRDefault="003B6A5F" w:rsidP="003B6A5F">
      <w:pPr>
        <w:rPr>
          <w:u w:val="single"/>
        </w:rPr>
      </w:pPr>
      <w:r w:rsidRPr="003B6A5F">
        <w:rPr>
          <w:u w:val="single"/>
        </w:rPr>
        <w:t xml:space="preserve">DH mener: </w:t>
      </w:r>
    </w:p>
    <w:p w14:paraId="61DAB68A" w14:textId="7D8312FC" w:rsidR="003B6A5F" w:rsidRDefault="003B6A5F" w:rsidP="003B6A5F"/>
    <w:p w14:paraId="287C57DE" w14:textId="2F5E8F54" w:rsidR="003B6A5F" w:rsidRDefault="003B6A5F" w:rsidP="00BB424D">
      <w:pPr>
        <w:ind w:left="284"/>
      </w:pPr>
      <w:r>
        <w:t xml:space="preserve">Lovforslaget </w:t>
      </w:r>
      <w:r w:rsidR="00D10830">
        <w:t>skal</w:t>
      </w:r>
      <w:r>
        <w:t xml:space="preserve"> udvides, således at pligt til rimelig </w:t>
      </w:r>
      <w:r w:rsidR="00086A83">
        <w:t xml:space="preserve">individuel </w:t>
      </w:r>
      <w:r>
        <w:t xml:space="preserve">tilpasning omfatter offentlige myndigheder. </w:t>
      </w:r>
    </w:p>
    <w:p w14:paraId="6F6C7495" w14:textId="77777777" w:rsidR="00C70892" w:rsidRDefault="00C70892" w:rsidP="001D21E5">
      <w:pPr>
        <w:pStyle w:val="Overskrift3"/>
      </w:pPr>
    </w:p>
    <w:p w14:paraId="206FC0DD" w14:textId="3188FD5C" w:rsidR="002958C9" w:rsidRPr="005163A4" w:rsidRDefault="003B6A5F" w:rsidP="001D21E5">
      <w:pPr>
        <w:pStyle w:val="Overskrift3"/>
      </w:pPr>
      <w:r>
        <w:t>L</w:t>
      </w:r>
      <w:r w:rsidR="001640DA">
        <w:t>ovens anvendelsesområde</w:t>
      </w:r>
      <w:r w:rsidR="001A6850">
        <w:t>: Private skoler og dagtilbud bør være omfattet</w:t>
      </w:r>
    </w:p>
    <w:p w14:paraId="7D42E2B9" w14:textId="6DE21573" w:rsidR="001D21E5" w:rsidRDefault="001D21E5" w:rsidP="001D21E5">
      <w:r>
        <w:t xml:space="preserve">DH mener, at retten til ikke at blive forskelsbehandlet på grund af handicap </w:t>
      </w:r>
      <w:r w:rsidR="001640DA">
        <w:t xml:space="preserve">som minimum </w:t>
      </w:r>
      <w:r>
        <w:t>bør omfatte alle børn, uanset om de går i en offentlig eller privat institution eller skole. Med det foreliggende lovforslag vil</w:t>
      </w:r>
      <w:r w:rsidR="00B71739">
        <w:t xml:space="preserve"> et</w:t>
      </w:r>
      <w:r>
        <w:t xml:space="preserve"> privat </w:t>
      </w:r>
      <w:r w:rsidR="00D604EF">
        <w:t>dagtilbud</w:t>
      </w:r>
      <w:r>
        <w:t xml:space="preserve"> </w:t>
      </w:r>
      <w:r w:rsidR="00B71739">
        <w:t xml:space="preserve">ikke være underlagt forpligtelsen til rimelig tilpasning og vil eksempelvis </w:t>
      </w:r>
      <w:r>
        <w:t xml:space="preserve">fortsat kunne afvise et barn med diabetes. Denne skelnen stiller således børn med handicap i private </w:t>
      </w:r>
      <w:r w:rsidR="00D604EF">
        <w:t>dagtilbud</w:t>
      </w:r>
      <w:r>
        <w:t xml:space="preserve"> og skoler ringere</w:t>
      </w:r>
      <w:r w:rsidR="001640DA">
        <w:t xml:space="preserve"> </w:t>
      </w:r>
      <w:r w:rsidR="00B71739">
        <w:t xml:space="preserve">i forhold til </w:t>
      </w:r>
      <w:r w:rsidR="001640DA">
        <w:t>at opnå lige muligheder.</w:t>
      </w:r>
      <w:r w:rsidR="00587BE7">
        <w:t xml:space="preserve"> </w:t>
      </w:r>
    </w:p>
    <w:p w14:paraId="77ECA9A9" w14:textId="7DD5D9D7" w:rsidR="001640DA" w:rsidRDefault="001640DA" w:rsidP="001D21E5"/>
    <w:p w14:paraId="1013066B" w14:textId="0EE8028D" w:rsidR="001640DA" w:rsidRDefault="001640DA" w:rsidP="001D21E5">
      <w:r>
        <w:t xml:space="preserve">For DH er det vigtigt, at børn med handicap – og deres forældre – har lige muligheder i forhold til at vælge en </w:t>
      </w:r>
      <w:r w:rsidR="00D604EF">
        <w:t>dagtilbud</w:t>
      </w:r>
      <w:r>
        <w:t xml:space="preserve"> eller en skole, der passer til fam</w:t>
      </w:r>
      <w:r w:rsidR="008A0DAD">
        <w:t xml:space="preserve">iliens ønsker og overbevisning, fx </w:t>
      </w:r>
      <w:r>
        <w:t xml:space="preserve">et privat dag- eller skoletilbud. Den manglende forpligtelse for private </w:t>
      </w:r>
      <w:r w:rsidR="00D604EF">
        <w:t>dagtilbud</w:t>
      </w:r>
      <w:r>
        <w:t xml:space="preserve"> og private skoler </w:t>
      </w:r>
      <w:r w:rsidR="00EE4F21">
        <w:t xml:space="preserve">til at skabe rimelig </w:t>
      </w:r>
      <w:r w:rsidR="00086A83">
        <w:t xml:space="preserve">individuel </w:t>
      </w:r>
      <w:r w:rsidR="00EE4F21">
        <w:t xml:space="preserve">tilpasning </w:t>
      </w:r>
      <w:r>
        <w:t>indskrænker barnet</w:t>
      </w:r>
      <w:r w:rsidR="008A0DAD">
        <w:t>s</w:t>
      </w:r>
      <w:r>
        <w:t xml:space="preserve"> og forældrenes valgfrihed. </w:t>
      </w:r>
      <w:r w:rsidR="00EE4F21">
        <w:t xml:space="preserve">DH </w:t>
      </w:r>
      <w:r w:rsidR="007F4AFE">
        <w:t xml:space="preserve">mener, at dette </w:t>
      </w:r>
      <w:r w:rsidR="00EE4F21">
        <w:t>ikke er rimeligt.</w:t>
      </w:r>
    </w:p>
    <w:p w14:paraId="02854AA1" w14:textId="77777777" w:rsidR="001640DA" w:rsidRDefault="001640DA" w:rsidP="001D21E5"/>
    <w:p w14:paraId="0EC0F284" w14:textId="5640037C" w:rsidR="00EE4F21" w:rsidRDefault="00EE4F21" w:rsidP="00EE4F21">
      <w:r>
        <w:t>In</w:t>
      </w:r>
      <w:r w:rsidR="00AB295F">
        <w:t xml:space="preserve">klusion </w:t>
      </w:r>
      <w:r>
        <w:t xml:space="preserve">er </w:t>
      </w:r>
      <w:r w:rsidR="00AB295F">
        <w:t>en bred samfundsopgave</w:t>
      </w:r>
      <w:r>
        <w:t xml:space="preserve">, som kommunale </w:t>
      </w:r>
      <w:r w:rsidR="00D604EF">
        <w:t>dagtilbud</w:t>
      </w:r>
      <w:r>
        <w:t xml:space="preserve"> og folkeskoler arbejder med at løfte. DH mener, at </w:t>
      </w:r>
      <w:r w:rsidR="00AB295F">
        <w:t xml:space="preserve">private </w:t>
      </w:r>
      <w:r w:rsidR="00D604EF">
        <w:t>dagtilbud</w:t>
      </w:r>
      <w:r>
        <w:t xml:space="preserve"> og private skoler skal bidrage til at løfte denne opgave. Vi er overbevist om, at langt de fleste </w:t>
      </w:r>
      <w:r w:rsidR="008A0DAD">
        <w:t xml:space="preserve">private dagtilbud og private skoler </w:t>
      </w:r>
      <w:r>
        <w:t>gerne vil være med til at inkludere børn med handicap.</w:t>
      </w:r>
    </w:p>
    <w:p w14:paraId="68260401" w14:textId="77777777" w:rsidR="00EE4F21" w:rsidRDefault="00EE4F21" w:rsidP="00EE4F21"/>
    <w:p w14:paraId="0CD49657" w14:textId="333F6262" w:rsidR="008E044D" w:rsidRDefault="008E044D" w:rsidP="001D21E5">
      <w:r>
        <w:t xml:space="preserve">Man kan endelig nævne, at private dagtilbud og </w:t>
      </w:r>
      <w:r w:rsidR="00A72CFD">
        <w:t xml:space="preserve">private </w:t>
      </w:r>
      <w:r>
        <w:t>skoler i rollen som a</w:t>
      </w:r>
      <w:r w:rsidRPr="008E044D">
        <w:t xml:space="preserve">rbejdsgivere </w:t>
      </w:r>
      <w:r w:rsidR="00DF4E1D">
        <w:t xml:space="preserve">har pligt til rimelig tilpasning over for ansatte og praktikelever med handicap i kraft af </w:t>
      </w:r>
      <w:r>
        <w:t xml:space="preserve">forskelsbehandlingsloven. Det vil være naturligt, at man med dette lovforslag </w:t>
      </w:r>
      <w:r w:rsidR="00DF4E1D">
        <w:t xml:space="preserve">også </w:t>
      </w:r>
      <w:r>
        <w:t>sikrer</w:t>
      </w:r>
      <w:r w:rsidR="00A72CFD">
        <w:t xml:space="preserve"> rimelig tilpasning for børn </w:t>
      </w:r>
      <w:r w:rsidR="00DF4E1D">
        <w:t xml:space="preserve">og </w:t>
      </w:r>
      <w:r w:rsidR="00A72CFD">
        <w:t>elever</w:t>
      </w:r>
      <w:r w:rsidR="00DF4E1D">
        <w:t xml:space="preserve">. </w:t>
      </w:r>
      <w:r>
        <w:t xml:space="preserve">  </w:t>
      </w:r>
    </w:p>
    <w:p w14:paraId="6AF460C1" w14:textId="77777777" w:rsidR="008E044D" w:rsidRDefault="008E044D" w:rsidP="001D21E5"/>
    <w:p w14:paraId="3E9C5DBC" w14:textId="4575C1C4" w:rsidR="001D21E5" w:rsidRDefault="001D21E5" w:rsidP="001D21E5">
      <w:pPr>
        <w:rPr>
          <w:u w:val="single"/>
        </w:rPr>
      </w:pPr>
      <w:r w:rsidRPr="001D21E5">
        <w:rPr>
          <w:u w:val="single"/>
        </w:rPr>
        <w:t>DH mener</w:t>
      </w:r>
      <w:r w:rsidR="00587BE7">
        <w:rPr>
          <w:u w:val="single"/>
        </w:rPr>
        <w:t>:</w:t>
      </w:r>
    </w:p>
    <w:p w14:paraId="519759B6" w14:textId="77777777" w:rsidR="00DF4E1D" w:rsidRPr="001D21E5" w:rsidRDefault="00DF4E1D" w:rsidP="001D21E5">
      <w:pPr>
        <w:rPr>
          <w:u w:val="single"/>
        </w:rPr>
      </w:pPr>
    </w:p>
    <w:p w14:paraId="4ADA7C7A" w14:textId="17702E4C" w:rsidR="00E35516" w:rsidRPr="00F20062" w:rsidRDefault="00DF4E1D" w:rsidP="00BB424D">
      <w:pPr>
        <w:ind w:left="284"/>
      </w:pPr>
      <w:r>
        <w:t>Lovforslaget skal ændres, så r</w:t>
      </w:r>
      <w:r w:rsidR="001D21E5">
        <w:t xml:space="preserve">etten til </w:t>
      </w:r>
      <w:r w:rsidR="00086A83">
        <w:t xml:space="preserve">rimelig </w:t>
      </w:r>
      <w:r w:rsidR="001D21E5">
        <w:t>individuel tilpasning også omfatte</w:t>
      </w:r>
      <w:r>
        <w:t>r</w:t>
      </w:r>
      <w:r w:rsidR="001D21E5">
        <w:t xml:space="preserve"> børn</w:t>
      </w:r>
      <w:r w:rsidR="00EE4F21">
        <w:t xml:space="preserve"> med handicap i </w:t>
      </w:r>
      <w:r w:rsidR="001D21E5">
        <w:t xml:space="preserve">private </w:t>
      </w:r>
      <w:r w:rsidR="00D604EF">
        <w:t>dagtilbud</w:t>
      </w:r>
      <w:r w:rsidR="001D21E5">
        <w:t xml:space="preserve"> og private </w:t>
      </w:r>
      <w:r w:rsidR="00EE4F21">
        <w:t>skoler</w:t>
      </w:r>
      <w:r>
        <w:t xml:space="preserve">. </w:t>
      </w:r>
    </w:p>
    <w:p w14:paraId="0ECA0993" w14:textId="77777777" w:rsidR="00C70892" w:rsidRDefault="00C70892" w:rsidP="00F642E1">
      <w:pPr>
        <w:pStyle w:val="Overskrift3"/>
      </w:pPr>
    </w:p>
    <w:p w14:paraId="526A107A" w14:textId="1093C9AD" w:rsidR="005163A4" w:rsidRPr="005163A4" w:rsidRDefault="00D41FD5" w:rsidP="00F642E1">
      <w:pPr>
        <w:pStyle w:val="Overskrift3"/>
      </w:pPr>
      <w:r>
        <w:t xml:space="preserve">Vurdering af omkostninger ved </w:t>
      </w:r>
      <w:r w:rsidR="00086A83">
        <w:t xml:space="preserve">rimelig </w:t>
      </w:r>
      <w:r w:rsidR="005163A4" w:rsidRPr="005163A4">
        <w:t>tilpasning</w:t>
      </w:r>
      <w:r w:rsidR="001036B9">
        <w:t xml:space="preserve">: </w:t>
      </w:r>
    </w:p>
    <w:p w14:paraId="7C9C0B20" w14:textId="77777777" w:rsidR="001036B9" w:rsidRPr="001036B9" w:rsidRDefault="001036B9" w:rsidP="001036B9">
      <w:r w:rsidRPr="001036B9">
        <w:t xml:space="preserve">I de specielle bemærkninger til § 1, til nr. 2, hedder det; </w:t>
      </w:r>
    </w:p>
    <w:p w14:paraId="0963D013" w14:textId="77777777" w:rsidR="001036B9" w:rsidRPr="001036B9" w:rsidRDefault="001036B9" w:rsidP="001036B9"/>
    <w:p w14:paraId="55322FB5" w14:textId="61B2DA00" w:rsidR="001036B9" w:rsidRPr="001036B9" w:rsidRDefault="001036B9" w:rsidP="001036B9">
      <w:r w:rsidRPr="001036B9">
        <w:t>”Omkostningerne forbundet med tilpasningen vil også skulle vurderes og sættes i forhold til dagtilbuddets eller folkeskolens ressourcer. Ligebehandlingsnævnet vil, når det sender sagen i høring hos de involverede parter, eksplicit skulle bede den indklagede om at forholde sig til, hvorvidt u</w:t>
      </w:r>
      <w:r w:rsidR="007F4AFE">
        <w:t>dgiften efter indklagedes opfat</w:t>
      </w:r>
      <w:r w:rsidRPr="001036B9">
        <w:t>telse udgør en uforholdsmæssig stor byrde, såfremt dette er relevant for beslutningen i den konkrete sag. En udgift er uforholdsmæssig stor, hvis den ikke kan rummes inden for dagtilbuddets eller folkeskolens eksisterende årlige driftsbudget, eller hvis den forårsager, at andre udgiftsposter inden for det årlige eksisterende budget vil skulle nedprioriteres i væsentlig grad.” (side 14)</w:t>
      </w:r>
      <w:r w:rsidR="00A72CFD">
        <w:t>.</w:t>
      </w:r>
    </w:p>
    <w:p w14:paraId="015D258C" w14:textId="77777777" w:rsidR="001036B9" w:rsidRPr="001036B9" w:rsidRDefault="001036B9" w:rsidP="001036B9"/>
    <w:p w14:paraId="6D7629D3" w14:textId="2900DDA0" w:rsidR="001036B9" w:rsidRDefault="001036B9" w:rsidP="001036B9">
      <w:r w:rsidRPr="001036B9">
        <w:t xml:space="preserve">Bemærkningerne lægger op til, at vurderingen af, om en udgift er uforholdsmæssig stor, skal ske i forhold det enkelte dagtilbuds eller den enkelte skoles budget. </w:t>
      </w:r>
    </w:p>
    <w:p w14:paraId="21430391" w14:textId="77777777" w:rsidR="001036B9" w:rsidRPr="001036B9" w:rsidRDefault="001036B9" w:rsidP="001036B9"/>
    <w:p w14:paraId="02B3A783" w14:textId="3C19259B" w:rsidR="001036B9" w:rsidRDefault="001036B9" w:rsidP="001036B9">
      <w:r>
        <w:t xml:space="preserve">Det finder </w:t>
      </w:r>
      <w:r w:rsidR="000A000F">
        <w:t xml:space="preserve">DH </w:t>
      </w:r>
      <w:r>
        <w:t xml:space="preserve">uhensigtsmæssigt. </w:t>
      </w:r>
      <w:r w:rsidR="00CE4AC4">
        <w:t>Der er meget stor forskel på, i hvilken grad kommunerne har udlagt økonomien til de enkelte institutioner og skoler. Dermed vil der også være stor forskel på den enkelte institution eller skoles mulighed for at leve op til forpligtelsen til</w:t>
      </w:r>
      <w:r w:rsidR="00086A83">
        <w:t xml:space="preserve"> rimelig</w:t>
      </w:r>
      <w:r w:rsidR="00CE4AC4">
        <w:t xml:space="preserve"> </w:t>
      </w:r>
      <w:r w:rsidR="00086A83">
        <w:t xml:space="preserve">individuel </w:t>
      </w:r>
      <w:r w:rsidR="00CE4AC4">
        <w:t xml:space="preserve">tilpasning. </w:t>
      </w:r>
    </w:p>
    <w:p w14:paraId="35C4849F" w14:textId="776317D3" w:rsidR="0011231E" w:rsidRDefault="0011231E" w:rsidP="001036B9"/>
    <w:p w14:paraId="2F95F2E3" w14:textId="2036E835" w:rsidR="0011231E" w:rsidRDefault="00A72CFD" w:rsidP="001036B9">
      <w:r>
        <w:t xml:space="preserve">Afhængigt af et barns handicap kan </w:t>
      </w:r>
      <w:r w:rsidR="00086A83">
        <w:t xml:space="preserve">rimelig </w:t>
      </w:r>
      <w:r>
        <w:t xml:space="preserve">individuel </w:t>
      </w:r>
      <w:r w:rsidR="0011231E">
        <w:t xml:space="preserve">tilpasning </w:t>
      </w:r>
      <w:r>
        <w:t xml:space="preserve">i nogle tilfælde </w:t>
      </w:r>
      <w:r w:rsidR="0011231E">
        <w:t>blive en uforholdsmæssig stor byrde, hvis man vurderer den nødvendige støtte til et barn ud fra det enkelte dagtilbud eller skoles økonomi og ikke ud fra de samlede ressourcer til området i en kommune.</w:t>
      </w:r>
    </w:p>
    <w:p w14:paraId="3E6E4955" w14:textId="77777777" w:rsidR="00BB424D" w:rsidRDefault="00BB424D" w:rsidP="001036B9"/>
    <w:p w14:paraId="658E8608" w14:textId="48D3DC35" w:rsidR="001036B9" w:rsidRPr="001036B9" w:rsidRDefault="001036B9" w:rsidP="001036B9">
      <w:r w:rsidRPr="001036B9">
        <w:t xml:space="preserve">DH mener, at der bør ske en videre vurdering, der sætter udgiften i forhold til en bredere pulje af ressourcer. Eksempelvis kommunalbestyrelsens samlede budget for folkeskole eller dagtilbud. </w:t>
      </w:r>
    </w:p>
    <w:p w14:paraId="6D4D0B0C" w14:textId="77777777" w:rsidR="007F4AFE" w:rsidRDefault="007F4AFE" w:rsidP="001036B9"/>
    <w:p w14:paraId="762014B3" w14:textId="19B5C4D6" w:rsidR="001036B9" w:rsidRPr="001036B9" w:rsidRDefault="001036B9" w:rsidP="001036B9">
      <w:pPr>
        <w:rPr>
          <w:lang w:val="en-US"/>
        </w:rPr>
      </w:pPr>
      <w:r w:rsidRPr="005336CE">
        <w:t xml:space="preserve">Det finder støtte i General Comment nr. 4 fra FN’s Handicapkomité om ”Article 24; The Right to Inclusive Education”. </w:t>
      </w:r>
      <w:r w:rsidRPr="001036B9">
        <w:rPr>
          <w:lang w:val="en-US"/>
        </w:rPr>
        <w:t xml:space="preserve">Her hedder det: </w:t>
      </w:r>
    </w:p>
    <w:p w14:paraId="47C719B4" w14:textId="77777777" w:rsidR="001036B9" w:rsidRPr="001036B9" w:rsidRDefault="001036B9" w:rsidP="001036B9">
      <w:pPr>
        <w:rPr>
          <w:lang w:val="en-US"/>
        </w:rPr>
      </w:pPr>
    </w:p>
    <w:p w14:paraId="3C31DFD7" w14:textId="77777777" w:rsidR="001036B9" w:rsidRPr="001036B9" w:rsidRDefault="001036B9" w:rsidP="001036B9">
      <w:r w:rsidRPr="001036B9">
        <w:rPr>
          <w:lang w:val="en-US"/>
        </w:rPr>
        <w:t xml:space="preserve">“30. The definition of what is proportionate will necessarily vary according to context. The availability of accommodations should be considered with respect to a larger pool of educational resources available in the education system and not limited to resources available at the academic institution in question; transfer of resources </w:t>
      </w:r>
      <w:r w:rsidRPr="001036B9">
        <w:rPr>
          <w:lang w:val="en-US"/>
        </w:rPr>
        <w:lastRenderedPageBreak/>
        <w:t xml:space="preserve">within the system should be possible. There is no “one size fits all” formula to reasonable accommodation, as different students with the same impairment may require different accommodations.” </w:t>
      </w:r>
      <w:r w:rsidRPr="001036B9">
        <w:t xml:space="preserve">(side 9) </w:t>
      </w:r>
      <w:r w:rsidRPr="001036B9">
        <w:rPr>
          <w:vertAlign w:val="superscript"/>
          <w:lang w:val="en-US"/>
        </w:rPr>
        <w:footnoteReference w:id="1"/>
      </w:r>
    </w:p>
    <w:p w14:paraId="6064FF97" w14:textId="77777777" w:rsidR="001036B9" w:rsidRPr="001036B9" w:rsidRDefault="001036B9" w:rsidP="001036B9"/>
    <w:p w14:paraId="1DAE1E72" w14:textId="77777777" w:rsidR="001036B9" w:rsidRPr="001036B9" w:rsidRDefault="001036B9" w:rsidP="001036B9">
      <w:r w:rsidRPr="001036B9">
        <w:t xml:space="preserve">Det fremgår klart, at vurderingen ikke skal knyttes snævert op på den enkelte institutions budget. </w:t>
      </w:r>
    </w:p>
    <w:p w14:paraId="3BD2C60B" w14:textId="77777777" w:rsidR="001036B9" w:rsidRPr="001036B9" w:rsidRDefault="001036B9" w:rsidP="001036B9"/>
    <w:p w14:paraId="60320B04" w14:textId="2638B9BB" w:rsidR="001036B9" w:rsidRDefault="007F4AFE" w:rsidP="001036B9">
      <w:r>
        <w:t xml:space="preserve">DH </w:t>
      </w:r>
      <w:r w:rsidR="001036B9" w:rsidRPr="001036B9">
        <w:t>mene</w:t>
      </w:r>
      <w:r>
        <w:t>r</w:t>
      </w:r>
      <w:r w:rsidR="001036B9" w:rsidRPr="001036B9">
        <w:t>, at der</w:t>
      </w:r>
      <w:r w:rsidR="00A72CFD">
        <w:t>,</w:t>
      </w:r>
      <w:r w:rsidR="001036B9" w:rsidRPr="001036B9">
        <w:t xml:space="preserve"> hvor der er mulighed for det – eksempelvis inden for folkeskolens område – bør vurderingen ske i forhold til samlede kommunale budget for folkeskolen. </w:t>
      </w:r>
    </w:p>
    <w:p w14:paraId="05BC3485" w14:textId="77777777" w:rsidR="001036B9" w:rsidRDefault="001036B9" w:rsidP="001036B9"/>
    <w:p w14:paraId="3C8D9DA8" w14:textId="1B7B1DD2" w:rsidR="001036B9" w:rsidRPr="001036B9" w:rsidRDefault="007F4AFE" w:rsidP="001036B9">
      <w:r>
        <w:t>Det bør fremgå</w:t>
      </w:r>
      <w:r w:rsidR="001036B9" w:rsidRPr="001036B9">
        <w:t xml:space="preserve">, at kommunalbestyrelsen har </w:t>
      </w:r>
      <w:r w:rsidR="00B810B2">
        <w:t xml:space="preserve">det overordnede </w:t>
      </w:r>
      <w:r w:rsidR="001036B9" w:rsidRPr="001036B9">
        <w:t xml:space="preserve">ansvar for at sikre rimelig individuel tilpasning inden for sit ansvarsområde. </w:t>
      </w:r>
    </w:p>
    <w:p w14:paraId="6478021A" w14:textId="77777777" w:rsidR="001036B9" w:rsidRPr="001036B9" w:rsidRDefault="001036B9" w:rsidP="001036B9"/>
    <w:p w14:paraId="6AF594B5" w14:textId="2AEDA95C" w:rsidR="001036B9" w:rsidRPr="001036B9" w:rsidRDefault="001036B9" w:rsidP="001036B9">
      <w:r w:rsidRPr="001036B9">
        <w:t xml:space="preserve">Der vil være områder – fx det private skole- og dagtilbudsområde, som vi foreslår dækket af lovforslaget – hvor det er vanskeligere at sætte vurderingen i relation et større budget. Men under alle omstændigheder er bemærkningerne uhensigtsmæssige og misvisende for det offentlige område. </w:t>
      </w:r>
    </w:p>
    <w:p w14:paraId="76151BD4" w14:textId="53F31E85" w:rsidR="00BD6681" w:rsidRDefault="00BD6681" w:rsidP="00BD6681"/>
    <w:p w14:paraId="702882ED" w14:textId="7E073FEA" w:rsidR="00BD6681" w:rsidRDefault="00BD6681" w:rsidP="00BD6681">
      <w:r w:rsidRPr="00BD6681">
        <w:rPr>
          <w:u w:val="single"/>
        </w:rPr>
        <w:t>DH mener</w:t>
      </w:r>
      <w:r>
        <w:t xml:space="preserve">: </w:t>
      </w:r>
    </w:p>
    <w:p w14:paraId="772C00CC" w14:textId="3C848263" w:rsidR="00BD6681" w:rsidRDefault="00BD6681" w:rsidP="00BD6681"/>
    <w:p w14:paraId="07B91E87" w14:textId="53FBE87E" w:rsidR="005D5C4E" w:rsidRPr="005D5C4E" w:rsidRDefault="005D5C4E" w:rsidP="00BB424D">
      <w:pPr>
        <w:ind w:left="284"/>
      </w:pPr>
      <w:r w:rsidRPr="005D5C4E">
        <w:t xml:space="preserve">Bemærkningerne skal rettes til. </w:t>
      </w:r>
      <w:r>
        <w:t xml:space="preserve">Den økonomiske vurdering skal ikke </w:t>
      </w:r>
      <w:r w:rsidRPr="005D5C4E">
        <w:t xml:space="preserve">knyttes snævert op på den enkelte institutions budget. </w:t>
      </w:r>
      <w:r>
        <w:t xml:space="preserve">Derimod skal der ske en </w:t>
      </w:r>
      <w:r w:rsidRPr="005D5C4E">
        <w:t>videre vurdering, der sætter udgiften i forhold til en bredere pulje af ressourcer, hvor det er muligt. Eksempelvis kommunalbestyrelsens samlede budget for folkeskole eller dagtilbud</w:t>
      </w:r>
    </w:p>
    <w:p w14:paraId="40A9AECF" w14:textId="77777777" w:rsidR="00F57594" w:rsidRDefault="00F57594" w:rsidP="00BB424D">
      <w:pPr>
        <w:ind w:left="284"/>
      </w:pPr>
    </w:p>
    <w:p w14:paraId="4AF8F175" w14:textId="698FA4C3" w:rsidR="00F57594" w:rsidRDefault="00F57594" w:rsidP="00BB424D">
      <w:pPr>
        <w:ind w:left="284"/>
      </w:pPr>
      <w:r>
        <w:t xml:space="preserve">Det bør </w:t>
      </w:r>
      <w:r w:rsidRPr="00F57594">
        <w:t xml:space="preserve">tydeligt fremgå, at kommunalbestyrelsen har </w:t>
      </w:r>
      <w:r w:rsidR="00A72CFD">
        <w:t xml:space="preserve">det overordnede økonomiske </w:t>
      </w:r>
      <w:r w:rsidRPr="00F57594">
        <w:t xml:space="preserve">ansvar for at sikre rimelig </w:t>
      </w:r>
      <w:r w:rsidR="00086A83">
        <w:t>individuel</w:t>
      </w:r>
      <w:r w:rsidR="00086A83" w:rsidRPr="00F57594">
        <w:t xml:space="preserve"> </w:t>
      </w:r>
      <w:r w:rsidRPr="00F57594">
        <w:t>tilpasning inden for sit ansvarsområde.</w:t>
      </w:r>
    </w:p>
    <w:p w14:paraId="5A12C1E0" w14:textId="07DC8101" w:rsidR="00751814" w:rsidRDefault="00751814" w:rsidP="00BB424D">
      <w:pPr>
        <w:ind w:left="284"/>
      </w:pPr>
    </w:p>
    <w:p w14:paraId="6C69FD18" w14:textId="77777777" w:rsidR="00714727" w:rsidRPr="00C70892" w:rsidRDefault="00714727" w:rsidP="00714727">
      <w:pPr>
        <w:pStyle w:val="Overskrift3"/>
      </w:pPr>
      <w:r w:rsidRPr="00C70892">
        <w:t>Loven må ikke indskrænke børns rettigheder til at blive inkluderet</w:t>
      </w:r>
    </w:p>
    <w:p w14:paraId="391F68F8" w14:textId="77777777" w:rsidR="00714727" w:rsidRPr="00C70892" w:rsidRDefault="00714727" w:rsidP="00714727">
      <w:r w:rsidRPr="00C70892">
        <w:t>I bemærkningerne til lovforslaget understreges det, at lovforslaget ikke er en udvidelse af rettighederne for børn med handicap. DH mener, at det på samme vis skal fremgå tydeligt af bemærkningerne, at man ikke på baggrund af lovforslaget må undlade at skabe inkluderende læringsmiljøer for elever med handicap under henvisning til den enkelte skole eller dagtilbuds ressourcer.</w:t>
      </w:r>
    </w:p>
    <w:p w14:paraId="050AD7A0" w14:textId="77777777" w:rsidR="00714727" w:rsidRPr="00C70892" w:rsidRDefault="00714727" w:rsidP="00714727"/>
    <w:p w14:paraId="0BFECD53" w14:textId="3969A1F0" w:rsidR="00714727" w:rsidRPr="00C70892" w:rsidRDefault="00714727" w:rsidP="00714727">
      <w:r w:rsidRPr="00C70892">
        <w:t xml:space="preserve">Eksempelvis må en skole ikke undlade at sikre tilgængelighed for en elev i kørestol i forbindelse med en lejrtur, under henvisning til, at det vil være en uforholdsmæssig stor økonomisk byrde for skolen at sikre transport og </w:t>
      </w:r>
      <w:r w:rsidRPr="00C70892">
        <w:lastRenderedPageBreak/>
        <w:t>leje en koloni med tilgængelige forhold.</w:t>
      </w:r>
      <w:r w:rsidR="00721A65" w:rsidRPr="00C70892">
        <w:t xml:space="preserve"> Skolen er fortsat forpligtet til at sikre, at børn med handicap inkluderes i klassens aktiviteter.</w:t>
      </w:r>
    </w:p>
    <w:p w14:paraId="4917A578" w14:textId="77777777" w:rsidR="00714727" w:rsidRPr="00C70892" w:rsidRDefault="00714727" w:rsidP="00714727"/>
    <w:p w14:paraId="2B33CEE7" w14:textId="7EE2B06A" w:rsidR="00714727" w:rsidRPr="00C70892" w:rsidRDefault="00714727" w:rsidP="00714727">
      <w:r w:rsidRPr="00C70892">
        <w:t>Fra vores undersøgelse blandt forældre til børn med handicap ved vi i DH, at mange børn med handicap bliver fritaget fra at deltage i skolens aktiviteter, når der eksempelvis er særlige dage, der bry</w:t>
      </w:r>
      <w:r w:rsidR="00721A65" w:rsidRPr="00C70892">
        <w:t xml:space="preserve">der rutiner og vante strukturer. Det kan </w:t>
      </w:r>
      <w:r w:rsidRPr="00C70892">
        <w:t xml:space="preserve">fx </w:t>
      </w:r>
      <w:r w:rsidR="00721A65" w:rsidRPr="00C70892">
        <w:t xml:space="preserve">være i forbindelse med </w:t>
      </w:r>
      <w:r w:rsidRPr="00C70892">
        <w:t>temauger, idrætsdage mv. Nogle børn med handicap kan have brug for en ekstra hånd for at kunne deltage i aktiviteterne på lige fod med andre elever. Her er det vigtigt at slå fast, at skolerne ikke må undlade at afsætte ekstra ressourcer til at børn med handicap kan deltage i sådanne aktiviteter, under henvisning til skolens økonomi.</w:t>
      </w:r>
    </w:p>
    <w:p w14:paraId="7D953361" w14:textId="77777777" w:rsidR="00714727" w:rsidRPr="00C70892" w:rsidRDefault="00714727" w:rsidP="00714727"/>
    <w:p w14:paraId="5FE10AAB" w14:textId="77777777" w:rsidR="00714727" w:rsidRPr="00C70892" w:rsidRDefault="00714727" w:rsidP="00714727">
      <w:pPr>
        <w:rPr>
          <w:u w:val="single"/>
        </w:rPr>
      </w:pPr>
      <w:r w:rsidRPr="00C70892">
        <w:rPr>
          <w:u w:val="single"/>
        </w:rPr>
        <w:t>DH mener:</w:t>
      </w:r>
    </w:p>
    <w:p w14:paraId="57633AD4" w14:textId="77777777" w:rsidR="00714727" w:rsidRPr="00C70892" w:rsidRDefault="00714727" w:rsidP="00714727">
      <w:r w:rsidRPr="00C70892">
        <w:t>Det skal understreges i bemærkningerne, at dagtilbud og skoler ikke må indskrænke børn med handicaps ret til at blive inkluderet i skole eller dagtilbud under henvisning til den enkelte skole eller institutions ressourcer.</w:t>
      </w:r>
    </w:p>
    <w:p w14:paraId="14D4C8C2" w14:textId="77777777" w:rsidR="00714727" w:rsidRPr="00C70892" w:rsidRDefault="00714727" w:rsidP="00714727"/>
    <w:p w14:paraId="422689FA" w14:textId="57B73A4B" w:rsidR="00714727" w:rsidRDefault="00721A65" w:rsidP="00714727">
      <w:r w:rsidRPr="00C70892">
        <w:t>Det skal understreges, at k</w:t>
      </w:r>
      <w:r w:rsidR="00714727" w:rsidRPr="00C70892">
        <w:t xml:space="preserve">ommunerne stadig </w:t>
      </w:r>
      <w:r w:rsidRPr="00C70892">
        <w:t xml:space="preserve">har </w:t>
      </w:r>
      <w:r w:rsidR="00714727" w:rsidRPr="00C70892">
        <w:t>en ufravigelig forpligtelse til at sikre, at børn med handicap opnår lige muligheder og ligebehandling.</w:t>
      </w:r>
      <w:r w:rsidR="00714727" w:rsidRPr="00342514">
        <w:t xml:space="preserve"> </w:t>
      </w:r>
    </w:p>
    <w:p w14:paraId="125874FD" w14:textId="77777777" w:rsidR="00C70892" w:rsidRDefault="00C70892" w:rsidP="00904615">
      <w:pPr>
        <w:rPr>
          <w:b/>
          <w:sz w:val="22"/>
          <w:szCs w:val="22"/>
        </w:rPr>
      </w:pPr>
    </w:p>
    <w:p w14:paraId="77DC7DEE" w14:textId="4ED1274C" w:rsidR="00904615" w:rsidRPr="0045107F" w:rsidRDefault="00086A83" w:rsidP="0045107F">
      <w:pPr>
        <w:pStyle w:val="Overskrift3"/>
        <w:rPr>
          <w:rStyle w:val="Underoverskrift"/>
          <w:b w:val="0"/>
          <w:sz w:val="22"/>
        </w:rPr>
      </w:pPr>
      <w:r>
        <w:rPr>
          <w:rStyle w:val="Underoverskrift"/>
          <w:b w:val="0"/>
          <w:sz w:val="22"/>
        </w:rPr>
        <w:t>Rimelig i</w:t>
      </w:r>
      <w:r w:rsidR="00904615" w:rsidRPr="0045107F">
        <w:rPr>
          <w:rStyle w:val="Underoverskrift"/>
          <w:b w:val="0"/>
          <w:sz w:val="22"/>
        </w:rPr>
        <w:t>ndividuel tilpasning: Fjerne fysiske og ikke-fysiske barrierer</w:t>
      </w:r>
    </w:p>
    <w:p w14:paraId="7CE81D59" w14:textId="4FD76AF5" w:rsidR="00904615" w:rsidRPr="006061B6" w:rsidRDefault="00904615" w:rsidP="00904615">
      <w:r w:rsidRPr="006061B6">
        <w:t xml:space="preserve">I bemærkningerne på side 14 fremgår det, at man i vurderingen af rimelig tilpasning skal lægge vægt på effekten i forhold til at fjerne barriererne for personen med handicap. </w:t>
      </w:r>
    </w:p>
    <w:p w14:paraId="162F232E" w14:textId="28CA6410" w:rsidR="00904615" w:rsidRPr="006061B6" w:rsidRDefault="00904615" w:rsidP="00904615"/>
    <w:p w14:paraId="776D8B1B" w14:textId="373804F0" w:rsidR="00904615" w:rsidRPr="006061B6" w:rsidRDefault="00904615" w:rsidP="00904615">
      <w:r w:rsidRPr="006061B6">
        <w:t>DH mener, det bør tydeliggøres, at barrierer ikke behøver at være</w:t>
      </w:r>
      <w:r w:rsidR="00584243">
        <w:t xml:space="preserve"> fysiske (trapper og dørtrin og lignende</w:t>
      </w:r>
      <w:r w:rsidRPr="006061B6">
        <w:t xml:space="preserve">). Der kan også være tale om andre barrierer – fx kan en elev have behov for at få mere tid til at </w:t>
      </w:r>
      <w:r w:rsidR="006061B6" w:rsidRPr="006061B6">
        <w:t xml:space="preserve">lave en opgave eller forberede sig inden en mundtlig eksamen. </w:t>
      </w:r>
    </w:p>
    <w:p w14:paraId="66C776C9" w14:textId="014505F7" w:rsidR="006061B6" w:rsidRPr="006061B6" w:rsidRDefault="006061B6" w:rsidP="00904615"/>
    <w:p w14:paraId="50027F84" w14:textId="7B6AFD35" w:rsidR="006061B6" w:rsidRPr="006061B6" w:rsidRDefault="006061B6" w:rsidP="00904615">
      <w:r w:rsidRPr="006061B6">
        <w:t xml:space="preserve">Inklusion kan handle om meget andet end fysisk tilpasning. Det kan også handle om, at leg og undervisning og andre aktiviteter tilrettelægges med blik for den enkeltes behov. </w:t>
      </w:r>
    </w:p>
    <w:p w14:paraId="5280C507" w14:textId="703A0496" w:rsidR="006061B6" w:rsidRPr="006061B6" w:rsidRDefault="006061B6" w:rsidP="00904615"/>
    <w:p w14:paraId="7CCED271" w14:textId="3D6CF333" w:rsidR="006061B6" w:rsidRPr="006061B6" w:rsidRDefault="006061B6" w:rsidP="00904615">
      <w:pPr>
        <w:rPr>
          <w:u w:val="single"/>
        </w:rPr>
      </w:pPr>
      <w:r w:rsidRPr="006061B6">
        <w:rPr>
          <w:u w:val="single"/>
        </w:rPr>
        <w:t>DH mener:</w:t>
      </w:r>
    </w:p>
    <w:p w14:paraId="17BACE36" w14:textId="2D0A617C" w:rsidR="006061B6" w:rsidRPr="006061B6" w:rsidRDefault="006061B6" w:rsidP="00904615"/>
    <w:p w14:paraId="024AA0CD" w14:textId="180B3A27" w:rsidR="006061B6" w:rsidRPr="006061B6" w:rsidRDefault="006061B6" w:rsidP="00904615">
      <w:r w:rsidRPr="006061B6">
        <w:t xml:space="preserve">Det bør præciseres, at barrierer omfatter såvel fysiske som ikke-fysiske forhold. Der bør gives eksempler herpå i bemærkningerne.  </w:t>
      </w:r>
    </w:p>
    <w:p w14:paraId="46520B74" w14:textId="77777777" w:rsidR="006061B6" w:rsidRPr="00904615" w:rsidRDefault="006061B6" w:rsidP="00904615">
      <w:pPr>
        <w:rPr>
          <w:sz w:val="22"/>
          <w:szCs w:val="22"/>
        </w:rPr>
      </w:pPr>
    </w:p>
    <w:p w14:paraId="3C9644CC" w14:textId="063B83BD" w:rsidR="005163A4" w:rsidRPr="005163A4" w:rsidRDefault="00D41FD5" w:rsidP="00D604EF">
      <w:pPr>
        <w:pStyle w:val="Overskrift3"/>
      </w:pPr>
      <w:r>
        <w:lastRenderedPageBreak/>
        <w:t xml:space="preserve">Ingen forpligtelse for </w:t>
      </w:r>
      <w:r w:rsidR="005163A4" w:rsidRPr="005163A4">
        <w:t xml:space="preserve">børn </w:t>
      </w:r>
      <w:r>
        <w:t xml:space="preserve">og unge med </w:t>
      </w:r>
      <w:r w:rsidR="005163A4" w:rsidRPr="005163A4">
        <w:t>handicap</w:t>
      </w:r>
      <w:r>
        <w:t xml:space="preserve"> til at undersøge kompensation</w:t>
      </w:r>
    </w:p>
    <w:p w14:paraId="5110C301" w14:textId="39847BDC" w:rsidR="00736B4B" w:rsidRDefault="00086A83" w:rsidP="004F1ED7">
      <w:r>
        <w:t>Rimelig i</w:t>
      </w:r>
      <w:r w:rsidR="00584243" w:rsidRPr="00736B4B">
        <w:t>ndividuel</w:t>
      </w:r>
      <w:r w:rsidR="00736B4B" w:rsidRPr="00736B4B">
        <w:t xml:space="preserve"> tilpasning forudsætter dialog og samarbejde mellem den, som tilpasser og den tilpasningen sker for. I dialogen bidrager personen med handicap naturligvis med information om, hvad der vil være effektivt for at sikre rimelig </w:t>
      </w:r>
      <w:r w:rsidRPr="00736B4B">
        <w:t xml:space="preserve">individuel </w:t>
      </w:r>
      <w:r w:rsidR="00736B4B" w:rsidRPr="00736B4B">
        <w:t>tilpasning</w:t>
      </w:r>
      <w:r w:rsidR="00736B4B">
        <w:t xml:space="preserve">. </w:t>
      </w:r>
    </w:p>
    <w:p w14:paraId="1CF38175" w14:textId="77777777" w:rsidR="00736B4B" w:rsidRDefault="00736B4B" w:rsidP="004F1ED7"/>
    <w:p w14:paraId="36650E3E" w14:textId="4807CB1C" w:rsidR="00736B4B" w:rsidRDefault="00736B4B" w:rsidP="004F1ED7">
      <w:r>
        <w:t xml:space="preserve">Men under de specielle bemærkninger til § 9 a, til nr. 2, hedder det: </w:t>
      </w:r>
    </w:p>
    <w:p w14:paraId="13F07034" w14:textId="77777777" w:rsidR="00736B4B" w:rsidRDefault="00736B4B" w:rsidP="004F1ED7"/>
    <w:p w14:paraId="1827D798" w14:textId="77777777" w:rsidR="00736B4B" w:rsidRDefault="00736B4B" w:rsidP="004F1ED7">
      <w:r>
        <w:t>”Ligeledes har personen med handicap pligt til at undersøge mulighederne for kompensation for funktionsnedsættelsen på forskellige sektorområder.” (side 13).</w:t>
      </w:r>
    </w:p>
    <w:p w14:paraId="2BFC6DB9" w14:textId="77777777" w:rsidR="00736B4B" w:rsidRDefault="00736B4B" w:rsidP="004F1ED7"/>
    <w:p w14:paraId="7F1E525D" w14:textId="5904EFFB" w:rsidR="00F57594" w:rsidRDefault="005B280F" w:rsidP="004F1ED7">
      <w:r>
        <w:t xml:space="preserve">DH mener ikke, at der kan udledes en sådan pligt af princippet om rimelig tilpasning. </w:t>
      </w:r>
      <w:r>
        <w:rPr>
          <w:rStyle w:val="Fodnotehenvisning"/>
        </w:rPr>
        <w:footnoteReference w:id="2"/>
      </w:r>
      <w:r w:rsidR="0072503B">
        <w:t xml:space="preserve"> </w:t>
      </w:r>
    </w:p>
    <w:p w14:paraId="7F626F96" w14:textId="77777777" w:rsidR="00E3654A" w:rsidRDefault="00E3654A" w:rsidP="004F1ED7"/>
    <w:p w14:paraId="6E1DC6D5" w14:textId="231D8F79" w:rsidR="00DC5B03" w:rsidRDefault="002958C9" w:rsidP="004F1ED7">
      <w:r>
        <w:t xml:space="preserve">Da dette </w:t>
      </w:r>
      <w:r w:rsidR="002D1FA4">
        <w:t>lovforslag omhandler børn i dagtilbud og i skoler, dvs.</w:t>
      </w:r>
      <w:r>
        <w:t xml:space="preserve"> børn unge i aldersgruppen 0-16 år</w:t>
      </w:r>
      <w:r w:rsidR="00705922">
        <w:t>,</w:t>
      </w:r>
      <w:r>
        <w:t xml:space="preserve"> kan det ikke forventes, at det enkelte barn – eller dennes familie – er i stand til at leve</w:t>
      </w:r>
      <w:r w:rsidR="00584243">
        <w:t xml:space="preserve"> op til ovennævnte forpligtelse</w:t>
      </w:r>
      <w:r w:rsidR="00DC5B03">
        <w:t xml:space="preserve">. </w:t>
      </w:r>
    </w:p>
    <w:p w14:paraId="6D172470" w14:textId="77777777" w:rsidR="00DC5B03" w:rsidRDefault="00DC5B03" w:rsidP="004F1ED7"/>
    <w:p w14:paraId="3BD69D04" w14:textId="6CD4839C" w:rsidR="00D604EF" w:rsidRDefault="00DC5B03" w:rsidP="00D604EF">
      <w:r>
        <w:t xml:space="preserve">Desuden rejser bemærkningerne </w:t>
      </w:r>
      <w:r w:rsidR="00584243">
        <w:t xml:space="preserve">en </w:t>
      </w:r>
      <w:r>
        <w:t xml:space="preserve">hel række tvivlsspørgsmål. Hvilke konsekvenser for barnets ret til rimelig </w:t>
      </w:r>
      <w:r w:rsidR="00584243">
        <w:t xml:space="preserve">individuel </w:t>
      </w:r>
      <w:r>
        <w:t xml:space="preserve">tilpasning forestiller man sig eksempelvis, at det skal få, hvis et barn i folkeskolen ikke skønnes at opfylde sin pligt til at bidrage med information om muligheder for kompensation? </w:t>
      </w:r>
    </w:p>
    <w:p w14:paraId="0F97FA4E" w14:textId="3BA63053" w:rsidR="00705922" w:rsidRDefault="00705922" w:rsidP="00D604EF"/>
    <w:p w14:paraId="120F44AB" w14:textId="11BF8292" w:rsidR="00AA0895" w:rsidRPr="00AA0895" w:rsidRDefault="00AA0895" w:rsidP="00D604EF">
      <w:pPr>
        <w:rPr>
          <w:u w:val="single"/>
        </w:rPr>
      </w:pPr>
      <w:r w:rsidRPr="00AA0895">
        <w:rPr>
          <w:u w:val="single"/>
        </w:rPr>
        <w:t xml:space="preserve">DH mener: </w:t>
      </w:r>
    </w:p>
    <w:p w14:paraId="7B00DCF9" w14:textId="3BE65EF5" w:rsidR="00AA0895" w:rsidRDefault="00AA0895" w:rsidP="00D604EF"/>
    <w:p w14:paraId="0FD5C23C" w14:textId="75A48D63" w:rsidR="00AA0895" w:rsidRDefault="00AA0895" w:rsidP="00BB424D">
      <w:pPr>
        <w:ind w:left="284"/>
      </w:pPr>
      <w:r w:rsidRPr="00AA0895">
        <w:t>Pligten til at sikre rimelig tilpasning ligger ikke hos borgeren, men hos eksempelvis dagtilbuddet, skolen</w:t>
      </w:r>
      <w:r w:rsidR="0011231E">
        <w:t xml:space="preserve"> eller uddannelsesinstitutionen, samt kommunalbestyrelsen, der har det overordnede økonomiske ansvar. </w:t>
      </w:r>
      <w:r>
        <w:t>Formuleringerne om borgerens pligt</w:t>
      </w:r>
      <w:r w:rsidR="005B280F">
        <w:t xml:space="preserve"> til at</w:t>
      </w:r>
      <w:r w:rsidR="00BD2D7A">
        <w:t xml:space="preserve"> undersøge mulighederne for kompensation </w:t>
      </w:r>
      <w:r w:rsidR="005B280F">
        <w:t xml:space="preserve">i bemærkningerne </w:t>
      </w:r>
      <w:r>
        <w:t xml:space="preserve">skal </w:t>
      </w:r>
      <w:r w:rsidR="00BD2D7A">
        <w:t xml:space="preserve">ændres. </w:t>
      </w:r>
      <w:r>
        <w:t xml:space="preserve"> </w:t>
      </w:r>
    </w:p>
    <w:p w14:paraId="41061323" w14:textId="77777777" w:rsidR="00C70892" w:rsidRDefault="00C70892" w:rsidP="00584243">
      <w:pPr>
        <w:pStyle w:val="Overskrift3"/>
      </w:pPr>
    </w:p>
    <w:p w14:paraId="519DF9F5" w14:textId="6FC3AE64" w:rsidR="00346A10" w:rsidRPr="00DA57A0" w:rsidRDefault="006B7565" w:rsidP="00584243">
      <w:pPr>
        <w:pStyle w:val="Overskrift3"/>
      </w:pPr>
      <w:r w:rsidRPr="00DA57A0">
        <w:t>Pligt til rimelig tilpasning skal ikke begrænses til eksisterende ligebehandlingsrettigheder</w:t>
      </w:r>
    </w:p>
    <w:p w14:paraId="2D6078C6" w14:textId="77777777" w:rsidR="00316E1B" w:rsidRDefault="00346A10" w:rsidP="00D604EF">
      <w:r>
        <w:t xml:space="preserve">I de almindelige bemærkninger (3.3) står der: </w:t>
      </w:r>
    </w:p>
    <w:p w14:paraId="03CB591B" w14:textId="77777777" w:rsidR="00316E1B" w:rsidRDefault="00316E1B" w:rsidP="00D604EF"/>
    <w:p w14:paraId="5B46A04D" w14:textId="4357364F" w:rsidR="00346A10" w:rsidRDefault="00346A10" w:rsidP="00D604EF">
      <w:r>
        <w:t>”</w:t>
      </w:r>
      <w:r w:rsidRPr="00346A10">
        <w:t>Retten til rimelig individuel tilpasning foreslås alene at medføre, at eksisterende ligebehandlingsrettigheder skal tilpasses individuelt i den aktuelt opståede konkrete situation for, at børn og unge med handicap kan opnå lige muligheder og ligebehandling. Således vil bestemmelsen hverken udvide eller begrænse gældende ret efter sektorlovgivningen</w:t>
      </w:r>
      <w:r>
        <w:t>.”</w:t>
      </w:r>
    </w:p>
    <w:p w14:paraId="385381D4" w14:textId="4A7646B5" w:rsidR="00346A10" w:rsidRDefault="00346A10" w:rsidP="00D604EF"/>
    <w:p w14:paraId="3683620D" w14:textId="351F31D5" w:rsidR="00346A10" w:rsidRDefault="00AA3CB7" w:rsidP="00D604EF">
      <w:r>
        <w:lastRenderedPageBreak/>
        <w:t xml:space="preserve">Formuleringen ser ud til at </w:t>
      </w:r>
      <w:r w:rsidR="00346A10">
        <w:t>indskrænke anvendelsen af rimelig tilpasning til ”eksisterende ligebehandlingsrettigheder”</w:t>
      </w:r>
      <w:r>
        <w:t xml:space="preserve">. Det er ikke helt klart, hvordan det nærmere skal forstås, men </w:t>
      </w:r>
      <w:r w:rsidR="006B7565">
        <w:t xml:space="preserve">formuleringen er meget bekymrende. DH mener ikke, denne indskrænkning er i overensstemmelse med Handicapkonventionen. </w:t>
      </w:r>
    </w:p>
    <w:p w14:paraId="3BC9B337" w14:textId="57A2EE22" w:rsidR="00AA3CB7" w:rsidRDefault="00AA3CB7" w:rsidP="00D604EF"/>
    <w:p w14:paraId="20966B91" w14:textId="3FA4F346" w:rsidR="00AA3CB7" w:rsidRDefault="00AA3CB7" w:rsidP="00D604EF">
      <w:r>
        <w:t>Efter DH’s opfattelse er pligten til rimelig tilpasning kn</w:t>
      </w:r>
      <w:r w:rsidR="00CF520E">
        <w:t>yttet til en konkret situation</w:t>
      </w:r>
      <w:r>
        <w:t xml:space="preserve">, hvor et behov for tilpasning kan opstå. Uanset om situationerne er dækket af eksisterende rettigheder efter eksempelvis sektorlovgivning om hjælpemidler, støtte eller lignende. </w:t>
      </w:r>
    </w:p>
    <w:p w14:paraId="7D0BD255" w14:textId="63C8AB63" w:rsidR="00AA3CB7" w:rsidRDefault="00AA3CB7" w:rsidP="00D604EF"/>
    <w:p w14:paraId="2463F086" w14:textId="1BEF3C41" w:rsidR="00AA3CB7" w:rsidRDefault="00AA3CB7" w:rsidP="00D604EF">
      <w:r>
        <w:t xml:space="preserve">Det kan dreje sig om helt banale ting som at flytte til et andet undervisningslokale eller sikre, at der er områder, hvor der ikke så meget forstyrrende støj. </w:t>
      </w:r>
    </w:p>
    <w:p w14:paraId="7C97F7F8" w14:textId="77777777" w:rsidR="00BB424D" w:rsidRDefault="00BB424D" w:rsidP="00D604EF"/>
    <w:p w14:paraId="35236AC7" w14:textId="77777777" w:rsidR="00AA3CB7" w:rsidRPr="006B7565" w:rsidRDefault="00AA3CB7" w:rsidP="00D604EF">
      <w:pPr>
        <w:rPr>
          <w:u w:val="single"/>
        </w:rPr>
      </w:pPr>
      <w:r w:rsidRPr="006B7565">
        <w:rPr>
          <w:u w:val="single"/>
        </w:rPr>
        <w:t xml:space="preserve">DH mener: </w:t>
      </w:r>
    </w:p>
    <w:p w14:paraId="54F59C8C" w14:textId="77777777" w:rsidR="00AA3CB7" w:rsidRDefault="00AA3CB7" w:rsidP="00D604EF"/>
    <w:p w14:paraId="338FCF6D" w14:textId="47670A85" w:rsidR="006B7565" w:rsidRDefault="006B7565" w:rsidP="00BB424D">
      <w:pPr>
        <w:ind w:left="284"/>
      </w:pPr>
      <w:r>
        <w:t>Bemærkningerne skal ændres</w:t>
      </w:r>
      <w:r w:rsidR="00606E04">
        <w:t xml:space="preserve">, således at </w:t>
      </w:r>
      <w:r>
        <w:t>pligten til rimelig tilpasning ikke begrænse</w:t>
      </w:r>
      <w:r w:rsidR="00606E04">
        <w:t>s</w:t>
      </w:r>
      <w:r>
        <w:t xml:space="preserve"> til eksisterende ligebehandlingsrettigheder. </w:t>
      </w:r>
    </w:p>
    <w:p w14:paraId="59DD2959" w14:textId="399E333C" w:rsidR="00A37669" w:rsidRPr="006D5C1E" w:rsidRDefault="00A37669" w:rsidP="00584243">
      <w:pPr>
        <w:pStyle w:val="Overskrift3"/>
      </w:pPr>
      <w:r w:rsidRPr="006D5C1E">
        <w:t>Afgørelse</w:t>
      </w:r>
      <w:r w:rsidR="006D5C1E" w:rsidRPr="006D5C1E">
        <w:t>r</w:t>
      </w:r>
      <w:r w:rsidRPr="006D5C1E">
        <w:t>, ikke beslutning</w:t>
      </w:r>
      <w:r w:rsidR="006D5C1E" w:rsidRPr="006D5C1E">
        <w:t>er</w:t>
      </w:r>
    </w:p>
    <w:p w14:paraId="5116E9CA" w14:textId="77777777" w:rsidR="007936C7" w:rsidRDefault="007936C7" w:rsidP="00D604EF">
      <w:r>
        <w:t xml:space="preserve">I de specielle bemærkninger til § 1, til nr. 2, står der: </w:t>
      </w:r>
    </w:p>
    <w:p w14:paraId="43F750A8" w14:textId="77777777" w:rsidR="007936C7" w:rsidRDefault="007936C7" w:rsidP="00D604EF"/>
    <w:p w14:paraId="53F868A9" w14:textId="2572E63C" w:rsidR="00A37669" w:rsidRDefault="007936C7" w:rsidP="00D604EF">
      <w:r>
        <w:t>”</w:t>
      </w:r>
      <w:r w:rsidR="00A37669" w:rsidRPr="00A37669">
        <w:t xml:space="preserve">Det foreslås med </w:t>
      </w:r>
      <w:r w:rsidR="00A37669" w:rsidRPr="00A37669">
        <w:rPr>
          <w:i/>
          <w:iCs/>
        </w:rPr>
        <w:t>§ 9 a, stk. 3</w:t>
      </w:r>
      <w:r w:rsidR="00A37669" w:rsidRPr="00A37669">
        <w:t>, at manglende iagttagelse af retten til rimelig individuel tilpasning efter stk. 1 og 2 betragtes som forskelsbehandling. Det betyder, at der vil kunne klages til Ligebehandlingsnævnet, som vil kunne træffe beslutning om, hvorvidt retten til rimelig individuel tilpasning ikke er iagttaget, og om klager skal kunne tilkendes en godtgørelse. Der er tale om en beslutning og ikke en afgørelse i forvaltningslovens forstand</w:t>
      </w:r>
      <w:r w:rsidR="00A37669">
        <w:t>.</w:t>
      </w:r>
      <w:r>
        <w:t>”</w:t>
      </w:r>
      <w:r w:rsidR="00A37669">
        <w:t xml:space="preserve"> (side </w:t>
      </w:r>
      <w:r w:rsidR="00F07114">
        <w:t xml:space="preserve">14). </w:t>
      </w:r>
    </w:p>
    <w:p w14:paraId="07C396D9" w14:textId="22D4BD06" w:rsidR="00A37669" w:rsidRDefault="00A37669" w:rsidP="00D604EF"/>
    <w:p w14:paraId="7A163FD9" w14:textId="438F6455" w:rsidR="007936C7" w:rsidRDefault="007936C7" w:rsidP="00D604EF">
      <w:r>
        <w:t xml:space="preserve">DH undrer sig over, hvorfor Ligebehandlingsnævnets afgørelser i forhold til rimelig tilpasning skulle have karakter af beslutninger og ikke afgørelser. </w:t>
      </w:r>
    </w:p>
    <w:p w14:paraId="6F08E9D1" w14:textId="354FCF1B" w:rsidR="006D5C1E" w:rsidRDefault="006D5C1E" w:rsidP="00D604EF"/>
    <w:p w14:paraId="51C90EAE" w14:textId="7782879C" w:rsidR="006D5C1E" w:rsidRDefault="006D5C1E" w:rsidP="00D604EF">
      <w:r>
        <w:t xml:space="preserve">Vi går ud fra, at det er fejl. Vi vil blot henvise til Ligebehandlingsnævnets hjemmeside, hvor Nævnet omtaler resultatet af klagesagsbehandlingen som ”afgørelser”. </w:t>
      </w:r>
    </w:p>
    <w:p w14:paraId="65995D09" w14:textId="43BD9F01" w:rsidR="006D5C1E" w:rsidRDefault="006D5C1E" w:rsidP="00D604EF"/>
    <w:p w14:paraId="5C89B3FE" w14:textId="699BDAD6" w:rsidR="006D5C1E" w:rsidRPr="006D5C1E" w:rsidRDefault="006D5C1E" w:rsidP="00D604EF">
      <w:pPr>
        <w:rPr>
          <w:u w:val="single"/>
        </w:rPr>
      </w:pPr>
      <w:r w:rsidRPr="006D5C1E">
        <w:rPr>
          <w:u w:val="single"/>
        </w:rPr>
        <w:t xml:space="preserve">DH mener: </w:t>
      </w:r>
    </w:p>
    <w:p w14:paraId="1B2745E5" w14:textId="09C9DC64" w:rsidR="006D5C1E" w:rsidRDefault="006D5C1E" w:rsidP="00D604EF"/>
    <w:p w14:paraId="20189CC8" w14:textId="2465903D" w:rsidR="006D5C1E" w:rsidRDefault="006D5C1E" w:rsidP="00BB424D">
      <w:pPr>
        <w:ind w:left="284"/>
      </w:pPr>
      <w:r>
        <w:t xml:space="preserve">Bemærkningerne skal rettes til. Ligebehandlingsnævnets virksomhed har karakter af afgørelser i forvaltningslovens forstand, ikke beslutninger. </w:t>
      </w:r>
    </w:p>
    <w:p w14:paraId="246E2E18" w14:textId="77777777" w:rsidR="00C70892" w:rsidRDefault="00C70892" w:rsidP="00932E25">
      <w:pPr>
        <w:pStyle w:val="Overskrift3"/>
      </w:pPr>
    </w:p>
    <w:p w14:paraId="6FAC4D5F" w14:textId="03CE826C" w:rsidR="00A16E5E" w:rsidRPr="00BB730F" w:rsidRDefault="00BB730F" w:rsidP="00932E25">
      <w:pPr>
        <w:pStyle w:val="Overskrift3"/>
      </w:pPr>
      <w:r>
        <w:t>Fr</w:t>
      </w:r>
      <w:r w:rsidRPr="00BB730F">
        <w:t>emdrift</w:t>
      </w:r>
      <w:r>
        <w:t xml:space="preserve"> i forhold til at dække flere samfundsområder</w:t>
      </w:r>
      <w:r w:rsidRPr="00BB730F">
        <w:t xml:space="preserve"> </w:t>
      </w:r>
    </w:p>
    <w:p w14:paraId="5D8B82C3" w14:textId="305C89A9" w:rsidR="00C62BC3" w:rsidRDefault="00C62BC3" w:rsidP="00C62BC3">
      <w:r>
        <w:t xml:space="preserve">Den forrige regering blev pålagt at sætte undersøgelse i gang om, hvordan flere områder kunne dækkes. </w:t>
      </w:r>
      <w:r w:rsidRPr="00C62BC3">
        <w:t xml:space="preserve">DH er ikke bekendt med, at </w:t>
      </w:r>
      <w:r>
        <w:t xml:space="preserve">en rapport </w:t>
      </w:r>
      <w:r w:rsidR="00316E1B">
        <w:t>herom</w:t>
      </w:r>
      <w:r>
        <w:t xml:space="preserve"> er </w:t>
      </w:r>
      <w:r w:rsidRPr="00C62BC3">
        <w:t xml:space="preserve">blevet offentliggjort. </w:t>
      </w:r>
    </w:p>
    <w:p w14:paraId="6919D948" w14:textId="77777777" w:rsidR="00732172" w:rsidRPr="00C62BC3" w:rsidRDefault="00732172" w:rsidP="00C62BC3"/>
    <w:p w14:paraId="4F9BBF3C" w14:textId="77777777" w:rsidR="00732172" w:rsidRPr="00732172" w:rsidRDefault="00732172" w:rsidP="00732172">
      <w:r w:rsidRPr="00732172">
        <w:t xml:space="preserve">DH mener som nævnt, at alle samfundsområder skal dækkes af et forbud mod diskrimination i form af nægtelse af rimelig tilpasning. </w:t>
      </w:r>
    </w:p>
    <w:p w14:paraId="03E214E8" w14:textId="5EE8AF87" w:rsidR="00C62BC3" w:rsidRDefault="00C62BC3" w:rsidP="00D604EF"/>
    <w:p w14:paraId="5D178419" w14:textId="163C1F3B" w:rsidR="00A16E5E" w:rsidRDefault="00C62BC3" w:rsidP="00D604EF">
      <w:r>
        <w:t>Vi vil opfordre til, at der</w:t>
      </w:r>
      <w:r w:rsidR="00A16E5E">
        <w:t xml:space="preserve"> sikres fremdrift i forhold til at få dækket flere samfundsområder. </w:t>
      </w:r>
    </w:p>
    <w:p w14:paraId="700D4BAA" w14:textId="77777777" w:rsidR="00A16E5E" w:rsidRDefault="00A16E5E" w:rsidP="00D604EF"/>
    <w:p w14:paraId="0E61E576" w14:textId="2CD01281" w:rsidR="00BB730F" w:rsidRPr="004121DF" w:rsidRDefault="00BB730F" w:rsidP="00D604EF">
      <w:pPr>
        <w:rPr>
          <w:u w:val="single"/>
        </w:rPr>
      </w:pPr>
      <w:r w:rsidRPr="004121DF">
        <w:rPr>
          <w:u w:val="single"/>
        </w:rPr>
        <w:t xml:space="preserve">DH mener: </w:t>
      </w:r>
    </w:p>
    <w:p w14:paraId="4562A359" w14:textId="6F997D1D" w:rsidR="00BB730F" w:rsidRDefault="00BB730F" w:rsidP="00D604EF"/>
    <w:p w14:paraId="118E2B91" w14:textId="6ADF93C6" w:rsidR="00A44CAE" w:rsidRDefault="00BB730F" w:rsidP="006B143D">
      <w:pPr>
        <w:ind w:left="284"/>
      </w:pPr>
      <w:r>
        <w:t xml:space="preserve">Lovforslaget bør indeholde mekanismer, der sikrer fremdrift i forhold til at få dækket flere samfundsområder af pligten til rimelig tilpasning. </w:t>
      </w:r>
    </w:p>
    <w:p w14:paraId="04F1B4C8" w14:textId="694DC87E" w:rsidR="00A44CAE" w:rsidRDefault="00A44CAE" w:rsidP="00D604EF"/>
    <w:p w14:paraId="6811845B" w14:textId="3A57B5E1" w:rsidR="006061B6" w:rsidRDefault="006061B6" w:rsidP="00D604EF"/>
    <w:p w14:paraId="76C270C0" w14:textId="77777777" w:rsidR="006061B6" w:rsidRDefault="006061B6" w:rsidP="00D604EF"/>
    <w:p w14:paraId="479D34F2" w14:textId="50A072DA" w:rsidR="006061B6" w:rsidRDefault="00D604EF" w:rsidP="00375A4A">
      <w:r>
        <w:t>M</w:t>
      </w:r>
      <w:r w:rsidR="00BB4867">
        <w:t>ed venlig hilsen</w:t>
      </w:r>
      <w:r>
        <w:br/>
      </w:r>
    </w:p>
    <w:p w14:paraId="3D546C44" w14:textId="3B3CE463" w:rsidR="006061B6" w:rsidRDefault="00060F2D" w:rsidP="00375A4A">
      <w:r w:rsidRPr="00060F2D">
        <w:rPr>
          <w:rFonts w:eastAsia="Calibri"/>
          <w:noProof/>
          <w:lang w:eastAsia="da-DK"/>
        </w:rPr>
        <w:drawing>
          <wp:inline distT="0" distB="0" distL="0" distR="0" wp14:anchorId="2A128BAC" wp14:editId="248519EE">
            <wp:extent cx="1760220" cy="449580"/>
            <wp:effectExtent l="0" t="0" r="0" b="7620"/>
            <wp:docPr id="2" name="Billede 2" descr="cid:image001.jpg@01D5529D.6532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529D.6532F8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0220" cy="449580"/>
                    </a:xfrm>
                    <a:prstGeom prst="rect">
                      <a:avLst/>
                    </a:prstGeom>
                    <a:noFill/>
                    <a:ln>
                      <a:noFill/>
                    </a:ln>
                  </pic:spPr>
                </pic:pic>
              </a:graphicData>
            </a:graphic>
          </wp:inline>
        </w:drawing>
      </w:r>
    </w:p>
    <w:p w14:paraId="4EF3C212" w14:textId="77777777" w:rsidR="006061B6" w:rsidRDefault="006061B6" w:rsidP="00375A4A"/>
    <w:p w14:paraId="34762A8F" w14:textId="77777777" w:rsidR="00E375E9" w:rsidRDefault="00E375E9" w:rsidP="00D604EF">
      <w:r>
        <w:t>Thorkild Olesen</w:t>
      </w:r>
    </w:p>
    <w:p w14:paraId="51567270" w14:textId="0050BD2D" w:rsidR="006061B6" w:rsidRPr="00E375E9" w:rsidRDefault="006061B6" w:rsidP="00D604EF">
      <w:pPr>
        <w:rPr>
          <w:i/>
        </w:rPr>
      </w:pPr>
      <w:r w:rsidRPr="00E375E9">
        <w:rPr>
          <w:i/>
        </w:rPr>
        <w:t>formand</w:t>
      </w:r>
    </w:p>
    <w:sectPr w:rsidR="006061B6" w:rsidRPr="00E375E9" w:rsidSect="00E10AC0">
      <w:headerReference w:type="default" r:id="rId13"/>
      <w:footerReference w:type="default" r:id="rId14"/>
      <w:headerReference w:type="first" r:id="rId15"/>
      <w:footerReference w:type="first" r:id="rId16"/>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4EF00" w14:textId="77777777" w:rsidR="0039366D" w:rsidRDefault="0039366D">
      <w:pPr>
        <w:spacing w:line="240" w:lineRule="auto"/>
      </w:pPr>
      <w:r>
        <w:separator/>
      </w:r>
    </w:p>
  </w:endnote>
  <w:endnote w:type="continuationSeparator" w:id="0">
    <w:p w14:paraId="2ABABFE3" w14:textId="77777777" w:rsidR="0039366D" w:rsidRDefault="00393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AAF7" w14:textId="77777777" w:rsidR="00E9405E" w:rsidRDefault="00BB4867">
    <w:pPr>
      <w:pStyle w:val="Sidefod"/>
    </w:pPr>
    <w:r>
      <w:rPr>
        <w:noProof/>
        <w:lang w:eastAsia="da-DK"/>
      </w:rPr>
      <mc:AlternateContent>
        <mc:Choice Requires="wps">
          <w:drawing>
            <wp:anchor distT="0" distB="0" distL="114300" distR="114300" simplePos="0" relativeHeight="251662336" behindDoc="0" locked="0" layoutInCell="1" allowOverlap="1" wp14:anchorId="6059AAFD" wp14:editId="6059AAFE">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059AB05" w14:textId="180019A1" w:rsidR="004F1A28" w:rsidRDefault="00BB4867"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97AF1">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97AF1">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059AAFD"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6059AB05" w14:textId="180019A1" w:rsidR="004F1A28" w:rsidRDefault="00BB4867"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B97AF1">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B97AF1">
                      <w:rPr>
                        <w:rStyle w:val="Sidetal"/>
                        <w:noProof/>
                      </w:rPr>
                      <w:t>3</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544DF1" w14:paraId="6059AAFB" w14:textId="77777777" w:rsidTr="00C62171">
      <w:tc>
        <w:tcPr>
          <w:tcW w:w="10915" w:type="dxa"/>
        </w:tcPr>
        <w:p w14:paraId="6059AAFA" w14:textId="77777777" w:rsidR="0087744F" w:rsidRPr="00310FAA" w:rsidRDefault="00BB4867"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6059AAFC"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09427" w14:textId="77777777" w:rsidR="0039366D" w:rsidRDefault="0039366D">
      <w:pPr>
        <w:spacing w:line="240" w:lineRule="auto"/>
      </w:pPr>
      <w:r>
        <w:separator/>
      </w:r>
    </w:p>
  </w:footnote>
  <w:footnote w:type="continuationSeparator" w:id="0">
    <w:p w14:paraId="7C659083" w14:textId="77777777" w:rsidR="0039366D" w:rsidRDefault="0039366D">
      <w:pPr>
        <w:spacing w:line="240" w:lineRule="auto"/>
      </w:pPr>
      <w:r>
        <w:continuationSeparator/>
      </w:r>
    </w:p>
  </w:footnote>
  <w:footnote w:id="1">
    <w:p w14:paraId="6A56C7DB" w14:textId="77777777" w:rsidR="001036B9" w:rsidRDefault="001036B9" w:rsidP="001036B9">
      <w:pPr>
        <w:pStyle w:val="Fodnotetekst"/>
      </w:pPr>
      <w:r>
        <w:rPr>
          <w:rStyle w:val="Fodnotehenvisning"/>
        </w:rPr>
        <w:footnoteRef/>
      </w:r>
      <w:r>
        <w:t xml:space="preserve"> </w:t>
      </w:r>
      <w:hyperlink r:id="rId1" w:history="1">
        <w:r w:rsidRPr="008D2D3A">
          <w:rPr>
            <w:rStyle w:val="Hyperlink"/>
          </w:rPr>
          <w:t>https://www.ohchr.org/en/hrbodies/crpd/pages/gc.aspx</w:t>
        </w:r>
      </w:hyperlink>
    </w:p>
    <w:p w14:paraId="1E3E102D" w14:textId="77777777" w:rsidR="001036B9" w:rsidRDefault="001036B9" w:rsidP="001036B9">
      <w:pPr>
        <w:pStyle w:val="Fodnotetekst"/>
      </w:pPr>
    </w:p>
  </w:footnote>
  <w:footnote w:id="2">
    <w:p w14:paraId="2D776406" w14:textId="3A238058" w:rsidR="005B280F" w:rsidRPr="005B280F" w:rsidRDefault="005B280F">
      <w:pPr>
        <w:pStyle w:val="Fodnotetekst"/>
      </w:pPr>
      <w:r>
        <w:rPr>
          <w:rStyle w:val="Fodnotehenvisning"/>
        </w:rPr>
        <w:footnoteRef/>
      </w:r>
      <w:r w:rsidRPr="005B280F">
        <w:t xml:space="preserve"> Hverken i General Comment nr. 4 eller nr. 6 (Equality and non-disckrimination</w:t>
      </w:r>
      <w:r>
        <w:t>, afsnit D</w:t>
      </w:r>
      <w:r w:rsidRPr="005B280F">
        <w:t xml:space="preserve">) findes en sådan pligt beskrevet.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AAF4" w14:textId="77777777" w:rsidR="00022BE5" w:rsidRDefault="00022BE5" w:rsidP="00022BE5">
    <w:pPr>
      <w:pStyle w:val="Sidehoved"/>
    </w:pPr>
  </w:p>
  <w:p w14:paraId="6059AAF5"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AAF8" w14:textId="77777777" w:rsidR="002762D8" w:rsidRDefault="00BB4867" w:rsidP="00F4074D">
    <w:pPr>
      <w:pStyle w:val="Sidehoved"/>
    </w:pPr>
    <w:r>
      <w:rPr>
        <w:noProof/>
        <w:lang w:eastAsia="da-DK"/>
      </w:rPr>
      <w:drawing>
        <wp:anchor distT="0" distB="0" distL="114300" distR="114300" simplePos="0" relativeHeight="251660288" behindDoc="0" locked="0" layoutInCell="1" allowOverlap="1" wp14:anchorId="6059AAFF" wp14:editId="6059AB00">
          <wp:simplePos x="0" y="0"/>
          <wp:positionH relativeFrom="page">
            <wp:posOffset>5395126</wp:posOffset>
          </wp:positionH>
          <wp:positionV relativeFrom="page">
            <wp:posOffset>360045</wp:posOffset>
          </wp:positionV>
          <wp:extent cx="1799590" cy="619125"/>
          <wp:effectExtent l="0" t="0" r="0" b="9525"/>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6059AB01" wp14:editId="6059AB02">
          <wp:simplePos x="0" y="0"/>
          <wp:positionH relativeFrom="page">
            <wp:posOffset>0</wp:posOffset>
          </wp:positionH>
          <wp:positionV relativeFrom="page">
            <wp:posOffset>0</wp:posOffset>
          </wp:positionV>
          <wp:extent cx="7559675" cy="10727690"/>
          <wp:effectExtent l="0" t="0" r="3175" b="0"/>
          <wp:wrapNone/>
          <wp:docPr id="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059AAF9" w14:textId="77777777" w:rsidR="008F4D20" w:rsidRPr="00F4074D" w:rsidRDefault="00BB4867" w:rsidP="00F4074D">
    <w:pPr>
      <w:pStyle w:val="Sidehoved"/>
    </w:pPr>
    <w:r>
      <w:rPr>
        <w:noProof/>
        <w:lang w:eastAsia="da-DK"/>
      </w:rPr>
      <mc:AlternateContent>
        <mc:Choice Requires="wps">
          <w:drawing>
            <wp:anchor distT="0" distB="0" distL="360045" distR="0" simplePos="0" relativeHeight="251659264" behindDoc="0" locked="0" layoutInCell="1" allowOverlap="1" wp14:anchorId="6059AB03" wp14:editId="6059AB04">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544DF1" w14:paraId="6059AB0D" w14:textId="77777777" w:rsidTr="004D35CC">
                            <w:tc>
                              <w:tcPr>
                                <w:tcW w:w="1960" w:type="dxa"/>
                              </w:tcPr>
                              <w:p w14:paraId="6059AB06" w14:textId="77777777" w:rsidR="00244D70" w:rsidRPr="00244D70" w:rsidRDefault="00BB4867" w:rsidP="00244D70">
                                <w:pPr>
                                  <w:pStyle w:val="Template-Adresse"/>
                                </w:pPr>
                                <w:r>
                                  <w:t>Blekinge Boulevard 2</w:t>
                                </w:r>
                              </w:p>
                              <w:p w14:paraId="6059AB07" w14:textId="77777777" w:rsidR="00244D70" w:rsidRPr="00244D70" w:rsidRDefault="00BB4867" w:rsidP="00244D70">
                                <w:pPr>
                                  <w:pStyle w:val="Template-Adresse"/>
                                </w:pPr>
                                <w:r>
                                  <w:t>2630 Taastrup, Danmark</w:t>
                                </w:r>
                              </w:p>
                              <w:p w14:paraId="6059AB08" w14:textId="77777777" w:rsidR="00F0152B" w:rsidRPr="00244D70" w:rsidRDefault="00BB4867" w:rsidP="00FC2BA0">
                                <w:pPr>
                                  <w:pStyle w:val="Template-Adresse"/>
                                </w:pPr>
                                <w:r>
                                  <w:t>Tlf.</w:t>
                                </w:r>
                                <w:r w:rsidR="004166DD">
                                  <w:t>:  +45 3675 1777</w:t>
                                </w:r>
                              </w:p>
                              <w:p w14:paraId="6059AB09" w14:textId="77777777" w:rsidR="00244D70" w:rsidRDefault="00BB4867" w:rsidP="001542A8">
                                <w:pPr>
                                  <w:pStyle w:val="Template-Adresse"/>
                                </w:pPr>
                                <w:r>
                                  <w:t>dh@handicap</w:t>
                                </w:r>
                                <w:r w:rsidR="00FC2BA0">
                                  <w:t>.</w:t>
                                </w:r>
                                <w:r>
                                  <w:t>dk</w:t>
                                </w:r>
                              </w:p>
                              <w:p w14:paraId="6059AB0A" w14:textId="77777777" w:rsidR="00F0152B" w:rsidRDefault="00BB4867" w:rsidP="00182651">
                                <w:pPr>
                                  <w:pStyle w:val="Template-Adresse"/>
                                </w:pPr>
                                <w:r>
                                  <w:t>www.handicap.dk</w:t>
                                </w:r>
                              </w:p>
                              <w:p w14:paraId="6059AB0B" w14:textId="77777777" w:rsidR="008D4691" w:rsidRDefault="008D4691" w:rsidP="00182651">
                                <w:pPr>
                                  <w:pStyle w:val="Template-Adresse"/>
                                </w:pPr>
                              </w:p>
                              <w:p w14:paraId="6059AB0C" w14:textId="77777777" w:rsidR="00F0152B" w:rsidRPr="008D4691" w:rsidRDefault="00BB4867" w:rsidP="00182651">
                                <w:pPr>
                                  <w:pStyle w:val="Template-Adresse"/>
                                  <w:rPr>
                                    <w:szCs w:val="16"/>
                                  </w:rPr>
                                </w:pPr>
                                <w:bookmarkStart w:id="3" w:name="Dato"/>
                                <w:r w:rsidRPr="008D4691">
                                  <w:rPr>
                                    <w:szCs w:val="16"/>
                                  </w:rPr>
                                  <w:t>03. februar 2020</w:t>
                                </w:r>
                                <w:bookmarkStart w:id="4" w:name="SagsID"/>
                                <w:bookmarkEnd w:id="3"/>
                                <w:r w:rsidRPr="008D4691">
                                  <w:rPr>
                                    <w:szCs w:val="16"/>
                                  </w:rPr>
                                  <w:t>165702</w:t>
                                </w:r>
                                <w:bookmarkStart w:id="5" w:name="DokID"/>
                                <w:bookmarkEnd w:id="4"/>
                                <w:r w:rsidRPr="008D4691">
                                  <w:rPr>
                                    <w:szCs w:val="16"/>
                                  </w:rPr>
                                  <w:t>475271</w:t>
                                </w:r>
                                <w:bookmarkEnd w:id="5"/>
                              </w:p>
                            </w:tc>
                          </w:tr>
                        </w:tbl>
                        <w:p w14:paraId="6059AB0E"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059AB03"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544DF1" w14:paraId="6059AB0D" w14:textId="77777777" w:rsidTr="004D35CC">
                      <w:tc>
                        <w:tcPr>
                          <w:tcW w:w="1960" w:type="dxa"/>
                        </w:tcPr>
                        <w:p w14:paraId="6059AB06" w14:textId="77777777" w:rsidR="00244D70" w:rsidRPr="00244D70" w:rsidRDefault="00BB4867" w:rsidP="00244D70">
                          <w:pPr>
                            <w:pStyle w:val="Template-Adresse"/>
                          </w:pPr>
                          <w:r>
                            <w:t>Blekinge Boulevard 2</w:t>
                          </w:r>
                        </w:p>
                        <w:p w14:paraId="6059AB07" w14:textId="77777777" w:rsidR="00244D70" w:rsidRPr="00244D70" w:rsidRDefault="00BB4867" w:rsidP="00244D70">
                          <w:pPr>
                            <w:pStyle w:val="Template-Adresse"/>
                          </w:pPr>
                          <w:r>
                            <w:t>2630 Taastrup, Danmark</w:t>
                          </w:r>
                        </w:p>
                        <w:p w14:paraId="6059AB08" w14:textId="77777777" w:rsidR="00F0152B" w:rsidRPr="00244D70" w:rsidRDefault="00BB4867" w:rsidP="00FC2BA0">
                          <w:pPr>
                            <w:pStyle w:val="Template-Adresse"/>
                          </w:pPr>
                          <w:r>
                            <w:t>Tlf.</w:t>
                          </w:r>
                          <w:r w:rsidR="004166DD">
                            <w:t>:  +45 3675 1777</w:t>
                          </w:r>
                        </w:p>
                        <w:p w14:paraId="6059AB09" w14:textId="77777777" w:rsidR="00244D70" w:rsidRDefault="00BB4867" w:rsidP="001542A8">
                          <w:pPr>
                            <w:pStyle w:val="Template-Adresse"/>
                          </w:pPr>
                          <w:r>
                            <w:t>dh@handicap</w:t>
                          </w:r>
                          <w:r w:rsidR="00FC2BA0">
                            <w:t>.</w:t>
                          </w:r>
                          <w:r>
                            <w:t>dk</w:t>
                          </w:r>
                        </w:p>
                        <w:p w14:paraId="6059AB0A" w14:textId="77777777" w:rsidR="00F0152B" w:rsidRDefault="00BB4867" w:rsidP="00182651">
                          <w:pPr>
                            <w:pStyle w:val="Template-Adresse"/>
                          </w:pPr>
                          <w:r>
                            <w:t>www.handicap.dk</w:t>
                          </w:r>
                        </w:p>
                        <w:p w14:paraId="6059AB0B" w14:textId="77777777" w:rsidR="008D4691" w:rsidRDefault="008D4691" w:rsidP="00182651">
                          <w:pPr>
                            <w:pStyle w:val="Template-Adresse"/>
                          </w:pPr>
                        </w:p>
                        <w:p w14:paraId="6059AB0C" w14:textId="77777777" w:rsidR="00F0152B" w:rsidRPr="008D4691" w:rsidRDefault="00BB4867" w:rsidP="00182651">
                          <w:pPr>
                            <w:pStyle w:val="Template-Adresse"/>
                            <w:rPr>
                              <w:szCs w:val="16"/>
                            </w:rPr>
                          </w:pPr>
                          <w:bookmarkStart w:id="6" w:name="Dato"/>
                          <w:r w:rsidRPr="008D4691">
                            <w:rPr>
                              <w:szCs w:val="16"/>
                            </w:rPr>
                            <w:t>03. februar 2020</w:t>
                          </w:r>
                          <w:bookmarkStart w:id="7" w:name="SagsID"/>
                          <w:bookmarkEnd w:id="6"/>
                          <w:r w:rsidRPr="008D4691">
                            <w:rPr>
                              <w:szCs w:val="16"/>
                            </w:rPr>
                            <w:t>165702</w:t>
                          </w:r>
                          <w:bookmarkStart w:id="8" w:name="DokID"/>
                          <w:bookmarkEnd w:id="7"/>
                          <w:r w:rsidRPr="008D4691">
                            <w:rPr>
                              <w:szCs w:val="16"/>
                            </w:rPr>
                            <w:t>475271</w:t>
                          </w:r>
                          <w:bookmarkEnd w:id="8"/>
                        </w:p>
                      </w:tc>
                    </w:tr>
                  </w:tbl>
                  <w:p w14:paraId="6059AB0E"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684073D"/>
    <w:multiLevelType w:val="hybridMultilevel"/>
    <w:tmpl w:val="57FA76AA"/>
    <w:lvl w:ilvl="0" w:tplc="32F08E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2A4A42"/>
    <w:multiLevelType w:val="hybridMultilevel"/>
    <w:tmpl w:val="2F52EC20"/>
    <w:lvl w:ilvl="0" w:tplc="32F08E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9"/>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358B"/>
    <w:rsid w:val="00004865"/>
    <w:rsid w:val="00005284"/>
    <w:rsid w:val="00016218"/>
    <w:rsid w:val="00022133"/>
    <w:rsid w:val="00022BE5"/>
    <w:rsid w:val="00026362"/>
    <w:rsid w:val="000500F3"/>
    <w:rsid w:val="000533C7"/>
    <w:rsid w:val="00060F2D"/>
    <w:rsid w:val="00062AB5"/>
    <w:rsid w:val="0007326D"/>
    <w:rsid w:val="00080393"/>
    <w:rsid w:val="00086A83"/>
    <w:rsid w:val="00090666"/>
    <w:rsid w:val="0009128C"/>
    <w:rsid w:val="00094ABD"/>
    <w:rsid w:val="00094C71"/>
    <w:rsid w:val="00095F85"/>
    <w:rsid w:val="000A000F"/>
    <w:rsid w:val="000A0218"/>
    <w:rsid w:val="000B589F"/>
    <w:rsid w:val="000C1AFF"/>
    <w:rsid w:val="000F322C"/>
    <w:rsid w:val="001012C9"/>
    <w:rsid w:val="001036B9"/>
    <w:rsid w:val="00103E3F"/>
    <w:rsid w:val="00105C01"/>
    <w:rsid w:val="0011231E"/>
    <w:rsid w:val="00113C37"/>
    <w:rsid w:val="00116DF3"/>
    <w:rsid w:val="001178E6"/>
    <w:rsid w:val="0013244F"/>
    <w:rsid w:val="00141B49"/>
    <w:rsid w:val="0015406F"/>
    <w:rsid w:val="001542A8"/>
    <w:rsid w:val="001640DA"/>
    <w:rsid w:val="00182651"/>
    <w:rsid w:val="00196791"/>
    <w:rsid w:val="001A2318"/>
    <w:rsid w:val="001A6850"/>
    <w:rsid w:val="001B2372"/>
    <w:rsid w:val="001B5BA9"/>
    <w:rsid w:val="001C147D"/>
    <w:rsid w:val="001D21E5"/>
    <w:rsid w:val="001F566D"/>
    <w:rsid w:val="001F7AD3"/>
    <w:rsid w:val="00206D61"/>
    <w:rsid w:val="00216CB8"/>
    <w:rsid w:val="00216E82"/>
    <w:rsid w:val="002415B1"/>
    <w:rsid w:val="00244D70"/>
    <w:rsid w:val="00260FC0"/>
    <w:rsid w:val="002662AD"/>
    <w:rsid w:val="00271383"/>
    <w:rsid w:val="00273CAC"/>
    <w:rsid w:val="002751CE"/>
    <w:rsid w:val="002758E0"/>
    <w:rsid w:val="002762D8"/>
    <w:rsid w:val="00280432"/>
    <w:rsid w:val="00282447"/>
    <w:rsid w:val="002944D1"/>
    <w:rsid w:val="002958C9"/>
    <w:rsid w:val="002B6816"/>
    <w:rsid w:val="002B7464"/>
    <w:rsid w:val="002C394F"/>
    <w:rsid w:val="002C5297"/>
    <w:rsid w:val="002C64DC"/>
    <w:rsid w:val="002D1FA4"/>
    <w:rsid w:val="002D5562"/>
    <w:rsid w:val="002E27B6"/>
    <w:rsid w:val="002E74A4"/>
    <w:rsid w:val="003033F8"/>
    <w:rsid w:val="0031009C"/>
    <w:rsid w:val="00310FAA"/>
    <w:rsid w:val="00316E1B"/>
    <w:rsid w:val="00323A76"/>
    <w:rsid w:val="00330AD0"/>
    <w:rsid w:val="00334592"/>
    <w:rsid w:val="00335AF7"/>
    <w:rsid w:val="00342514"/>
    <w:rsid w:val="00346A10"/>
    <w:rsid w:val="00361BC1"/>
    <w:rsid w:val="00374CCA"/>
    <w:rsid w:val="00375A4A"/>
    <w:rsid w:val="0039366D"/>
    <w:rsid w:val="003A2AD6"/>
    <w:rsid w:val="003B35B0"/>
    <w:rsid w:val="003B6A5F"/>
    <w:rsid w:val="003B7C93"/>
    <w:rsid w:val="003C3569"/>
    <w:rsid w:val="003C4F9F"/>
    <w:rsid w:val="003C60F1"/>
    <w:rsid w:val="003F1FFD"/>
    <w:rsid w:val="003F6D15"/>
    <w:rsid w:val="0040682B"/>
    <w:rsid w:val="004121DF"/>
    <w:rsid w:val="004166DD"/>
    <w:rsid w:val="00421009"/>
    <w:rsid w:val="00424709"/>
    <w:rsid w:val="00424AD9"/>
    <w:rsid w:val="00436CBB"/>
    <w:rsid w:val="0045107F"/>
    <w:rsid w:val="0045118C"/>
    <w:rsid w:val="00454947"/>
    <w:rsid w:val="004558DD"/>
    <w:rsid w:val="00472153"/>
    <w:rsid w:val="00474D8B"/>
    <w:rsid w:val="004A5FFD"/>
    <w:rsid w:val="004A6D4D"/>
    <w:rsid w:val="004B01FC"/>
    <w:rsid w:val="004B7BC2"/>
    <w:rsid w:val="004C01B2"/>
    <w:rsid w:val="004C358B"/>
    <w:rsid w:val="004D35CC"/>
    <w:rsid w:val="004E1AA9"/>
    <w:rsid w:val="004F1A28"/>
    <w:rsid w:val="004F1ED7"/>
    <w:rsid w:val="005163A4"/>
    <w:rsid w:val="005178A7"/>
    <w:rsid w:val="005336CE"/>
    <w:rsid w:val="00540F6B"/>
    <w:rsid w:val="00543B63"/>
    <w:rsid w:val="00543EF2"/>
    <w:rsid w:val="00544DF1"/>
    <w:rsid w:val="00547957"/>
    <w:rsid w:val="00552B38"/>
    <w:rsid w:val="00556F8D"/>
    <w:rsid w:val="00561C72"/>
    <w:rsid w:val="00582952"/>
    <w:rsid w:val="00582AE7"/>
    <w:rsid w:val="00584243"/>
    <w:rsid w:val="00587BE7"/>
    <w:rsid w:val="005A28D4"/>
    <w:rsid w:val="005B280F"/>
    <w:rsid w:val="005C5F97"/>
    <w:rsid w:val="005C769C"/>
    <w:rsid w:val="005D5C4E"/>
    <w:rsid w:val="005E5A50"/>
    <w:rsid w:val="005F0175"/>
    <w:rsid w:val="005F1580"/>
    <w:rsid w:val="005F3ED8"/>
    <w:rsid w:val="005F6B57"/>
    <w:rsid w:val="006061B6"/>
    <w:rsid w:val="00606E04"/>
    <w:rsid w:val="00610412"/>
    <w:rsid w:val="00614346"/>
    <w:rsid w:val="006277A5"/>
    <w:rsid w:val="00637475"/>
    <w:rsid w:val="00642979"/>
    <w:rsid w:val="00653D60"/>
    <w:rsid w:val="00655B49"/>
    <w:rsid w:val="00674045"/>
    <w:rsid w:val="0067449E"/>
    <w:rsid w:val="00674B15"/>
    <w:rsid w:val="00681D83"/>
    <w:rsid w:val="00683D57"/>
    <w:rsid w:val="006900C2"/>
    <w:rsid w:val="00695E89"/>
    <w:rsid w:val="006A09C5"/>
    <w:rsid w:val="006A2A2C"/>
    <w:rsid w:val="006B143D"/>
    <w:rsid w:val="006B2AE2"/>
    <w:rsid w:val="006B30A9"/>
    <w:rsid w:val="006B7565"/>
    <w:rsid w:val="006D5C1E"/>
    <w:rsid w:val="006D7653"/>
    <w:rsid w:val="006F4ADE"/>
    <w:rsid w:val="007008EE"/>
    <w:rsid w:val="0070267E"/>
    <w:rsid w:val="00704BA7"/>
    <w:rsid w:val="00705922"/>
    <w:rsid w:val="00706E32"/>
    <w:rsid w:val="0071262A"/>
    <w:rsid w:val="00714727"/>
    <w:rsid w:val="00721A65"/>
    <w:rsid w:val="0072503B"/>
    <w:rsid w:val="00732172"/>
    <w:rsid w:val="00736B4B"/>
    <w:rsid w:val="00751814"/>
    <w:rsid w:val="007527B6"/>
    <w:rsid w:val="007546AF"/>
    <w:rsid w:val="00756883"/>
    <w:rsid w:val="007577F0"/>
    <w:rsid w:val="00760086"/>
    <w:rsid w:val="00765934"/>
    <w:rsid w:val="00771433"/>
    <w:rsid w:val="0077451B"/>
    <w:rsid w:val="00776435"/>
    <w:rsid w:val="007830AC"/>
    <w:rsid w:val="00783594"/>
    <w:rsid w:val="007936C7"/>
    <w:rsid w:val="00793DD3"/>
    <w:rsid w:val="00794EE7"/>
    <w:rsid w:val="00797E99"/>
    <w:rsid w:val="007A4DB7"/>
    <w:rsid w:val="007A5D34"/>
    <w:rsid w:val="007B1FFF"/>
    <w:rsid w:val="007E373C"/>
    <w:rsid w:val="007F4AFE"/>
    <w:rsid w:val="008002CE"/>
    <w:rsid w:val="008033DC"/>
    <w:rsid w:val="00810A86"/>
    <w:rsid w:val="0082034F"/>
    <w:rsid w:val="00834A5D"/>
    <w:rsid w:val="00836161"/>
    <w:rsid w:val="008408A0"/>
    <w:rsid w:val="0087744F"/>
    <w:rsid w:val="00885E3C"/>
    <w:rsid w:val="008866FE"/>
    <w:rsid w:val="00892D08"/>
    <w:rsid w:val="00893791"/>
    <w:rsid w:val="008A0DAD"/>
    <w:rsid w:val="008A60CF"/>
    <w:rsid w:val="008A6A4F"/>
    <w:rsid w:val="008D4691"/>
    <w:rsid w:val="008D531B"/>
    <w:rsid w:val="008D62FC"/>
    <w:rsid w:val="008E044D"/>
    <w:rsid w:val="008E3D2B"/>
    <w:rsid w:val="008E5A6D"/>
    <w:rsid w:val="008F32DF"/>
    <w:rsid w:val="008F4D20"/>
    <w:rsid w:val="008F4DEE"/>
    <w:rsid w:val="00900563"/>
    <w:rsid w:val="00901B8C"/>
    <w:rsid w:val="00904615"/>
    <w:rsid w:val="00905B42"/>
    <w:rsid w:val="00911EC9"/>
    <w:rsid w:val="00932297"/>
    <w:rsid w:val="00932E25"/>
    <w:rsid w:val="0094757D"/>
    <w:rsid w:val="00947A9F"/>
    <w:rsid w:val="00950D3C"/>
    <w:rsid w:val="00951B25"/>
    <w:rsid w:val="00956EA3"/>
    <w:rsid w:val="00961375"/>
    <w:rsid w:val="009737E4"/>
    <w:rsid w:val="00976284"/>
    <w:rsid w:val="00981E0F"/>
    <w:rsid w:val="00983B74"/>
    <w:rsid w:val="00990263"/>
    <w:rsid w:val="0099368E"/>
    <w:rsid w:val="009A4CCC"/>
    <w:rsid w:val="009A4D05"/>
    <w:rsid w:val="009A7C32"/>
    <w:rsid w:val="009C2069"/>
    <w:rsid w:val="009C2909"/>
    <w:rsid w:val="009D1E80"/>
    <w:rsid w:val="009E4B94"/>
    <w:rsid w:val="00A16E5E"/>
    <w:rsid w:val="00A240BF"/>
    <w:rsid w:val="00A34444"/>
    <w:rsid w:val="00A37669"/>
    <w:rsid w:val="00A44CAE"/>
    <w:rsid w:val="00A51DA1"/>
    <w:rsid w:val="00A60595"/>
    <w:rsid w:val="00A72CFD"/>
    <w:rsid w:val="00A774BC"/>
    <w:rsid w:val="00A91DA5"/>
    <w:rsid w:val="00AA0895"/>
    <w:rsid w:val="00AA3CB7"/>
    <w:rsid w:val="00AA4E87"/>
    <w:rsid w:val="00AA554E"/>
    <w:rsid w:val="00AB295F"/>
    <w:rsid w:val="00AB4582"/>
    <w:rsid w:val="00AD1DAC"/>
    <w:rsid w:val="00AD5F89"/>
    <w:rsid w:val="00AE183E"/>
    <w:rsid w:val="00AF1D02"/>
    <w:rsid w:val="00B00D92"/>
    <w:rsid w:val="00B0422A"/>
    <w:rsid w:val="00B06E2B"/>
    <w:rsid w:val="00B076B9"/>
    <w:rsid w:val="00B20C54"/>
    <w:rsid w:val="00B24E70"/>
    <w:rsid w:val="00B402C7"/>
    <w:rsid w:val="00B52EA4"/>
    <w:rsid w:val="00B539F7"/>
    <w:rsid w:val="00B667AA"/>
    <w:rsid w:val="00B71739"/>
    <w:rsid w:val="00B80BC6"/>
    <w:rsid w:val="00B810B2"/>
    <w:rsid w:val="00B97AF1"/>
    <w:rsid w:val="00BB424D"/>
    <w:rsid w:val="00BB4255"/>
    <w:rsid w:val="00BB4867"/>
    <w:rsid w:val="00BB730F"/>
    <w:rsid w:val="00BB7DD7"/>
    <w:rsid w:val="00BC33AB"/>
    <w:rsid w:val="00BD2D7A"/>
    <w:rsid w:val="00BD6681"/>
    <w:rsid w:val="00BF0D57"/>
    <w:rsid w:val="00C34D5A"/>
    <w:rsid w:val="00C357EF"/>
    <w:rsid w:val="00C439CB"/>
    <w:rsid w:val="00C62171"/>
    <w:rsid w:val="00C62BC3"/>
    <w:rsid w:val="00C70892"/>
    <w:rsid w:val="00C75409"/>
    <w:rsid w:val="00C96A49"/>
    <w:rsid w:val="00CA0183"/>
    <w:rsid w:val="00CA0A7D"/>
    <w:rsid w:val="00CA1F51"/>
    <w:rsid w:val="00CC6322"/>
    <w:rsid w:val="00CC6995"/>
    <w:rsid w:val="00CC771A"/>
    <w:rsid w:val="00CE0A7C"/>
    <w:rsid w:val="00CE4AC4"/>
    <w:rsid w:val="00CE4CC5"/>
    <w:rsid w:val="00CE5168"/>
    <w:rsid w:val="00CE57E0"/>
    <w:rsid w:val="00CE7131"/>
    <w:rsid w:val="00CF520E"/>
    <w:rsid w:val="00CF7920"/>
    <w:rsid w:val="00D01271"/>
    <w:rsid w:val="00D10830"/>
    <w:rsid w:val="00D23C1F"/>
    <w:rsid w:val="00D27D0E"/>
    <w:rsid w:val="00D31954"/>
    <w:rsid w:val="00D3752F"/>
    <w:rsid w:val="00D41FD5"/>
    <w:rsid w:val="00D53670"/>
    <w:rsid w:val="00D55E11"/>
    <w:rsid w:val="00D604EF"/>
    <w:rsid w:val="00D74908"/>
    <w:rsid w:val="00D81FF6"/>
    <w:rsid w:val="00D87C66"/>
    <w:rsid w:val="00D96141"/>
    <w:rsid w:val="00D96ECC"/>
    <w:rsid w:val="00DA22B5"/>
    <w:rsid w:val="00DA57A0"/>
    <w:rsid w:val="00DB31AF"/>
    <w:rsid w:val="00DB6858"/>
    <w:rsid w:val="00DC246F"/>
    <w:rsid w:val="00DC5B03"/>
    <w:rsid w:val="00DC61BD"/>
    <w:rsid w:val="00DD1936"/>
    <w:rsid w:val="00DE1579"/>
    <w:rsid w:val="00DE1583"/>
    <w:rsid w:val="00DE2B28"/>
    <w:rsid w:val="00DE2EB8"/>
    <w:rsid w:val="00DE3F5C"/>
    <w:rsid w:val="00DF4E1D"/>
    <w:rsid w:val="00E006A2"/>
    <w:rsid w:val="00E0266D"/>
    <w:rsid w:val="00E10AC0"/>
    <w:rsid w:val="00E35516"/>
    <w:rsid w:val="00E3654A"/>
    <w:rsid w:val="00E375E9"/>
    <w:rsid w:val="00E516FA"/>
    <w:rsid w:val="00E53EE9"/>
    <w:rsid w:val="00E91524"/>
    <w:rsid w:val="00E9405E"/>
    <w:rsid w:val="00ED5310"/>
    <w:rsid w:val="00ED6EC5"/>
    <w:rsid w:val="00EE4F21"/>
    <w:rsid w:val="00EF251A"/>
    <w:rsid w:val="00F0152B"/>
    <w:rsid w:val="00F04788"/>
    <w:rsid w:val="00F07114"/>
    <w:rsid w:val="00F0783E"/>
    <w:rsid w:val="00F20062"/>
    <w:rsid w:val="00F233E7"/>
    <w:rsid w:val="00F4074D"/>
    <w:rsid w:val="00F57594"/>
    <w:rsid w:val="00F579ED"/>
    <w:rsid w:val="00F642E1"/>
    <w:rsid w:val="00F710A5"/>
    <w:rsid w:val="00F73354"/>
    <w:rsid w:val="00F7425C"/>
    <w:rsid w:val="00FA7E5D"/>
    <w:rsid w:val="00FC09D2"/>
    <w:rsid w:val="00FC2BA0"/>
    <w:rsid w:val="00FC5185"/>
    <w:rsid w:val="00FD302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AAE4"/>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99"/>
    <w:rsid w:val="008D4691"/>
    <w:rPr>
      <w:color w:val="0000FF" w:themeColor="hyperlink"/>
      <w:u w:val="single"/>
    </w:rPr>
  </w:style>
  <w:style w:type="character" w:styleId="Fodnotehenvisning">
    <w:name w:val="footnote reference"/>
    <w:basedOn w:val="Standardskrifttypeiafsnit"/>
    <w:uiPriority w:val="99"/>
    <w:semiHidden/>
    <w:unhideWhenUsed/>
    <w:rsid w:val="0045118C"/>
    <w:rPr>
      <w:vertAlign w:val="superscript"/>
    </w:rPr>
  </w:style>
  <w:style w:type="paragraph" w:styleId="Markeringsbobletekst">
    <w:name w:val="Balloon Text"/>
    <w:basedOn w:val="Normal"/>
    <w:link w:val="MarkeringsbobletekstTegn"/>
    <w:uiPriority w:val="99"/>
    <w:semiHidden/>
    <w:unhideWhenUsed/>
    <w:rsid w:val="00A240B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40BF"/>
    <w:rPr>
      <w:rFonts w:ascii="Segoe UI" w:hAnsi="Segoe UI" w:cs="Segoe UI"/>
      <w:sz w:val="18"/>
      <w:szCs w:val="18"/>
    </w:rPr>
  </w:style>
  <w:style w:type="character" w:styleId="Kommentarhenvisning">
    <w:name w:val="annotation reference"/>
    <w:basedOn w:val="Standardskrifttypeiafsnit"/>
    <w:uiPriority w:val="99"/>
    <w:semiHidden/>
    <w:unhideWhenUsed/>
    <w:rsid w:val="007A4DB7"/>
    <w:rPr>
      <w:sz w:val="16"/>
      <w:szCs w:val="16"/>
    </w:rPr>
  </w:style>
  <w:style w:type="paragraph" w:styleId="Kommentartekst">
    <w:name w:val="annotation text"/>
    <w:basedOn w:val="Normal"/>
    <w:link w:val="KommentartekstTegn"/>
    <w:uiPriority w:val="99"/>
    <w:semiHidden/>
    <w:unhideWhenUsed/>
    <w:rsid w:val="007A4DB7"/>
    <w:pPr>
      <w:spacing w:line="240" w:lineRule="auto"/>
    </w:pPr>
  </w:style>
  <w:style w:type="character" w:customStyle="1" w:styleId="KommentartekstTegn">
    <w:name w:val="Kommentartekst Tegn"/>
    <w:basedOn w:val="Standardskrifttypeiafsnit"/>
    <w:link w:val="Kommentartekst"/>
    <w:uiPriority w:val="99"/>
    <w:semiHidden/>
    <w:rsid w:val="007A4DB7"/>
  </w:style>
  <w:style w:type="paragraph" w:styleId="Kommentaremne">
    <w:name w:val="annotation subject"/>
    <w:basedOn w:val="Kommentartekst"/>
    <w:next w:val="Kommentartekst"/>
    <w:link w:val="KommentaremneTegn"/>
    <w:uiPriority w:val="99"/>
    <w:semiHidden/>
    <w:unhideWhenUsed/>
    <w:rsid w:val="007A4DB7"/>
    <w:rPr>
      <w:b/>
      <w:bCs/>
    </w:rPr>
  </w:style>
  <w:style w:type="character" w:customStyle="1" w:styleId="KommentaremneTegn">
    <w:name w:val="Kommentaremne Tegn"/>
    <w:basedOn w:val="KommentartekstTegn"/>
    <w:link w:val="Kommentaremne"/>
    <w:uiPriority w:val="99"/>
    <w:semiHidden/>
    <w:rsid w:val="007A4DB7"/>
    <w:rPr>
      <w:b/>
      <w:bCs/>
    </w:rPr>
  </w:style>
  <w:style w:type="paragraph" w:customStyle="1" w:styleId="Default">
    <w:name w:val="Default"/>
    <w:rsid w:val="00DE1583"/>
    <w:pPr>
      <w:autoSpaceDE w:val="0"/>
      <w:autoSpaceDN w:val="0"/>
      <w:adjustRightInd w:val="0"/>
      <w:spacing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440453">
      <w:bodyDiv w:val="1"/>
      <w:marLeft w:val="0"/>
      <w:marRight w:val="0"/>
      <w:marTop w:val="0"/>
      <w:marBottom w:val="0"/>
      <w:divBdr>
        <w:top w:val="none" w:sz="0" w:space="0" w:color="auto"/>
        <w:left w:val="none" w:sz="0" w:space="0" w:color="auto"/>
        <w:bottom w:val="none" w:sz="0" w:space="0" w:color="auto"/>
        <w:right w:val="none" w:sz="0" w:space="0" w:color="auto"/>
      </w:divBdr>
    </w:div>
    <w:div w:id="19779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529D.6532F8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crpd/pages/gc.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FBB576B85E14394FDFBE0A6C5FB28" ma:contentTypeVersion="0" ma:contentTypeDescription="Create a new document." ma:contentTypeScope="" ma:versionID="f101436d351326459e06e6890175854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E80F-F10E-43EC-B9FA-C14E2BD98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9E0894-2212-40A2-B3AB-F9FF1ECEF526}">
  <ds:schemaRefs>
    <ds:schemaRef ds:uri="http://schemas.microsoft.com/sharepoint/v3/contenttype/forms"/>
  </ds:schemaRefs>
</ds:datastoreItem>
</file>

<file path=customXml/itemProps3.xml><?xml version="1.0" encoding="utf-8"?>
<ds:datastoreItem xmlns:ds="http://schemas.openxmlformats.org/officeDocument/2006/customXml" ds:itemID="{DF72B5BA-72D8-48EE-9343-35FB0C442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75F8F0-F0A6-4CFE-80EF-82823FF57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0</TotalTime>
  <Pages>9</Pages>
  <Words>2461</Words>
  <Characters>15015</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Torben Kajberg</cp:lastModifiedBy>
  <cp:revision>2</cp:revision>
  <cp:lastPrinted>2020-02-17T16:13:00Z</cp:lastPrinted>
  <dcterms:created xsi:type="dcterms:W3CDTF">2020-02-20T16:00:00Z</dcterms:created>
  <dcterms:modified xsi:type="dcterms:W3CDTF">2020-02-20T16:00:00Z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0x010100AA4FBB576B85E14394FDFBE0A6C5FB28</vt:lpwstr>
  </property>
  <property fmtid="{D5CDD505-2E9C-101B-9397-08002B2CF9AE}" pid="3" name="TeamShareLastOpen">
    <vt:lpwstr>17-02-2020 20:44:37</vt:lpwstr>
  </property>
</Properties>
</file>