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7E27BF" w14:paraId="626FBBEC" w14:textId="77777777" w:rsidTr="00260FC0">
        <w:trPr>
          <w:trHeight w:hRule="exact" w:val="3062"/>
        </w:trPr>
        <w:tc>
          <w:tcPr>
            <w:tcW w:w="7371" w:type="dxa"/>
          </w:tcPr>
          <w:p w14:paraId="626FBBE9" w14:textId="77777777" w:rsidR="00655B49" w:rsidRDefault="00655B49" w:rsidP="00C75409">
            <w:pPr>
              <w:pStyle w:val="ModtagerAdresse"/>
            </w:pPr>
            <w:bookmarkStart w:id="0" w:name="Navn"/>
            <w:bookmarkEnd w:id="0"/>
          </w:p>
          <w:p w14:paraId="626FBBEA" w14:textId="77777777" w:rsidR="008D4691" w:rsidRDefault="008D4691" w:rsidP="00C75409">
            <w:pPr>
              <w:pStyle w:val="ModtagerAdresse"/>
            </w:pPr>
            <w:bookmarkStart w:id="1" w:name="Adresse"/>
            <w:bookmarkEnd w:id="1"/>
          </w:p>
          <w:p w14:paraId="626FBBEB" w14:textId="77777777" w:rsidR="008D4691" w:rsidRPr="00C75409" w:rsidRDefault="00066648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626FBBED" w14:textId="393CC4D3" w:rsidR="006A09C5" w:rsidRPr="00DB6858" w:rsidRDefault="00A76948" w:rsidP="00DB6858">
      <w:pPr>
        <w:pStyle w:val="Overskrift1"/>
      </w:pPr>
      <w:bookmarkStart w:id="4" w:name="Overskrift"/>
      <w:bookmarkStart w:id="5" w:name="_GoBack"/>
      <w:r>
        <w:t>H</w:t>
      </w:r>
      <w:r w:rsidR="00066648">
        <w:t xml:space="preserve">øringssvar om </w:t>
      </w:r>
      <w:r w:rsidR="00F806DA">
        <w:t xml:space="preserve">Danske Regioners ønsker om </w:t>
      </w:r>
      <w:r w:rsidR="00066648">
        <w:t>ændring i Medicinrådet</w:t>
      </w:r>
      <w:bookmarkEnd w:id="4"/>
    </w:p>
    <w:bookmarkEnd w:id="5"/>
    <w:p w14:paraId="626FBBEE" w14:textId="1BC8F916" w:rsidR="002758E0" w:rsidRDefault="00F806DA" w:rsidP="004F1ED7">
      <w:pPr>
        <w:rPr>
          <w:rStyle w:val="Underoverskrift"/>
        </w:rPr>
      </w:pPr>
      <w:r>
        <w:rPr>
          <w:rStyle w:val="Underoverskrift"/>
        </w:rPr>
        <w:t>Indledning</w:t>
      </w:r>
    </w:p>
    <w:p w14:paraId="626FBBEF" w14:textId="74E003F2" w:rsidR="002751CE" w:rsidRDefault="002751CE" w:rsidP="004F1ED7">
      <w:pPr>
        <w:rPr>
          <w:rStyle w:val="Underoverskrift"/>
          <w:rFonts w:eastAsiaTheme="majorEastAsia" w:cstheme="majorBidi"/>
          <w:bCs/>
          <w:spacing w:val="4"/>
        </w:rPr>
      </w:pPr>
    </w:p>
    <w:p w14:paraId="626FBBF0" w14:textId="1E49BDAB" w:rsidR="007B1FFF" w:rsidRPr="007B1FFF" w:rsidRDefault="00F806DA" w:rsidP="00DB6858">
      <w:r>
        <w:t>DH takker for muligheden for at kunne afgive bemærkninger. Vi henviser også til v</w:t>
      </w:r>
      <w:r>
        <w:t>o</w:t>
      </w:r>
      <w:r>
        <w:t>res høringssvar til eval</w:t>
      </w:r>
      <w:r>
        <w:t>u</w:t>
      </w:r>
      <w:r>
        <w:t xml:space="preserve">eringen af Medicinrådet. </w:t>
      </w:r>
      <w:r>
        <w:rPr>
          <w:rStyle w:val="Fodnotehenvisning"/>
        </w:rPr>
        <w:footnoteReference w:id="1"/>
      </w:r>
    </w:p>
    <w:p w14:paraId="626FBBF1" w14:textId="77777777" w:rsidR="00094C71" w:rsidRDefault="00094C71" w:rsidP="004F1ED7"/>
    <w:p w14:paraId="140C0EE9" w14:textId="77777777" w:rsidR="00F806DA" w:rsidRDefault="00F806DA" w:rsidP="004F1ED7">
      <w:r>
        <w:t>Danske Regioner lægger op til 7 ændringer. Desuden lægges der op til, at Medicinr</w:t>
      </w:r>
      <w:r>
        <w:t>å</w:t>
      </w:r>
      <w:r>
        <w:t xml:space="preserve">det skal arbejde videre med 3 forslag. </w:t>
      </w:r>
    </w:p>
    <w:p w14:paraId="2592D8EC" w14:textId="77777777" w:rsidR="00F806DA" w:rsidRDefault="00F806DA" w:rsidP="004F1ED7"/>
    <w:p w14:paraId="32351156" w14:textId="417F79FD" w:rsidR="00856A68" w:rsidRDefault="00A76948" w:rsidP="004F1ED7">
      <w:r>
        <w:t>Vi</w:t>
      </w:r>
      <w:r w:rsidR="00856A68">
        <w:t xml:space="preserve"> har nogle bemærkninger</w:t>
      </w:r>
      <w:r>
        <w:t xml:space="preserve"> til papiret fra Danske Regioner. D</w:t>
      </w:r>
      <w:r w:rsidR="00856A68">
        <w:t>er er mest tale om fo</w:t>
      </w:r>
      <w:r w:rsidR="00856A68">
        <w:t>r</w:t>
      </w:r>
      <w:r w:rsidR="00856A68">
        <w:t xml:space="preserve">slag til ændringer, der slet ikke er </w:t>
      </w:r>
      <w:r>
        <w:t xml:space="preserve">taget med </w:t>
      </w:r>
      <w:r w:rsidR="00856A68">
        <w:t xml:space="preserve">Danske Regioners </w:t>
      </w:r>
      <w:r>
        <w:t>papir</w:t>
      </w:r>
      <w:r w:rsidR="00856A68">
        <w:t xml:space="preserve">. </w:t>
      </w:r>
    </w:p>
    <w:p w14:paraId="0C086C51" w14:textId="37869EB8" w:rsidR="00856A68" w:rsidRDefault="00856A68" w:rsidP="004F1ED7"/>
    <w:p w14:paraId="46B22950" w14:textId="6C60A247" w:rsidR="007E65EB" w:rsidRDefault="00A76948" w:rsidP="007E65EB">
      <w:pPr>
        <w:pStyle w:val="Overskrift2"/>
      </w:pPr>
      <w:r>
        <w:t>Q</w:t>
      </w:r>
      <w:r w:rsidR="007E65EB">
        <w:t xml:space="preserve">ALY, </w:t>
      </w:r>
      <w:r>
        <w:t>mindre patientgrupper,</w:t>
      </w:r>
      <w:r w:rsidR="007E65EB">
        <w:t xml:space="preserve"> sjældne sygdomme</w:t>
      </w:r>
      <w:r>
        <w:t xml:space="preserve"> mv. </w:t>
      </w:r>
    </w:p>
    <w:p w14:paraId="4FDE7214" w14:textId="3C5264CA" w:rsidR="007E65EB" w:rsidRDefault="007E65EB" w:rsidP="004F1ED7"/>
    <w:p w14:paraId="65FFCB9D" w14:textId="77777777" w:rsidR="007E65EB" w:rsidRDefault="007E65EB" w:rsidP="004F1ED7">
      <w:r>
        <w:t xml:space="preserve">Danske Regioner ønsker at overgå til at vurdere merværdien af nye lægemidler i form af kvalitetsjusterede leveår (QALY). </w:t>
      </w:r>
    </w:p>
    <w:p w14:paraId="434BEFAC" w14:textId="77777777" w:rsidR="007E65EB" w:rsidRDefault="007E65EB" w:rsidP="004F1ED7"/>
    <w:p w14:paraId="4A414B7C" w14:textId="77777777" w:rsidR="00A76948" w:rsidRDefault="00A76948" w:rsidP="004F1ED7">
      <w:r>
        <w:t xml:space="preserve">DH anerkender, at QALY </w:t>
      </w:r>
      <w:r w:rsidR="007E65EB">
        <w:t>kan give et mere ensartet</w:t>
      </w:r>
      <w:r>
        <w:t>, sammenligneligt</w:t>
      </w:r>
      <w:r w:rsidR="007E65EB">
        <w:t xml:space="preserve"> og transparent grundlag at træffe b</w:t>
      </w:r>
      <w:r w:rsidR="007E65EB">
        <w:t>e</w:t>
      </w:r>
      <w:r w:rsidR="007E65EB">
        <w:t xml:space="preserve">slutninger på. </w:t>
      </w:r>
    </w:p>
    <w:p w14:paraId="4EED8D3D" w14:textId="77777777" w:rsidR="00A76948" w:rsidRDefault="00A76948" w:rsidP="004F1ED7"/>
    <w:p w14:paraId="20F87BFC" w14:textId="65810B5A" w:rsidR="007E65EB" w:rsidRDefault="00A76948" w:rsidP="004F1ED7">
      <w:r>
        <w:t xml:space="preserve">Der er dog bekymringer fra flere patientorganisationers side. Bl.a. kan det </w:t>
      </w:r>
      <w:r w:rsidR="00D31D94">
        <w:t>være ga</w:t>
      </w:r>
      <w:r w:rsidR="00D31D94">
        <w:t>n</w:t>
      </w:r>
      <w:r w:rsidR="00D31D94">
        <w:t xml:space="preserve">ske vanskeligt at gøre op, hvad der er livskvalitet. </w:t>
      </w:r>
    </w:p>
    <w:p w14:paraId="6625C2C6" w14:textId="7CC2752D" w:rsidR="00D31D94" w:rsidRDefault="00D31D94" w:rsidP="004F1ED7"/>
    <w:p w14:paraId="4B1645C5" w14:textId="4707393E" w:rsidR="00D31D94" w:rsidRDefault="00D31D94" w:rsidP="004F1ED7">
      <w:r>
        <w:t>DH er meget tilfredse med, at der ikke lægges op til at indføre en tærskel- eller græ</w:t>
      </w:r>
      <w:r>
        <w:t>n</w:t>
      </w:r>
      <w:r>
        <w:t xml:space="preserve">seværdi for, hvad et lægemiddel må koste. Og at alvorlighedsprincippet fortsat kan bruges af Rådet. </w:t>
      </w:r>
    </w:p>
    <w:p w14:paraId="7B2BDE28" w14:textId="5CF68E2E" w:rsidR="00D31D94" w:rsidRDefault="00D31D94" w:rsidP="004F1ED7"/>
    <w:p w14:paraId="79B9590B" w14:textId="649F8EEF" w:rsidR="00D31D94" w:rsidRDefault="00D31D94" w:rsidP="004F1ED7">
      <w:r>
        <w:t xml:space="preserve">DH ser dog gerne, at der laves </w:t>
      </w:r>
      <w:r w:rsidR="00A76948">
        <w:t xml:space="preserve">tydeligere og mere forpligtende </w:t>
      </w:r>
      <w:r>
        <w:t>retningslinjer for a</w:t>
      </w:r>
      <w:r>
        <w:t>n</w:t>
      </w:r>
      <w:r>
        <w:t>vendelsen af alvorli</w:t>
      </w:r>
      <w:r>
        <w:t>g</w:t>
      </w:r>
      <w:r>
        <w:t xml:space="preserve">hedsprincippet. </w:t>
      </w:r>
    </w:p>
    <w:p w14:paraId="1686F3C0" w14:textId="77777777" w:rsidR="007E65EB" w:rsidRDefault="007E65EB" w:rsidP="004F1ED7"/>
    <w:p w14:paraId="3FF17492" w14:textId="59F5AEEB" w:rsidR="007E65EB" w:rsidRDefault="00003113" w:rsidP="004F1ED7">
      <w:r w:rsidRPr="00003113">
        <w:lastRenderedPageBreak/>
        <w:t xml:space="preserve">Der lægges op til at lave nærmere retningslinjer for, hvilke lægemidler der ikke kan vurderes efter QALY metoden. </w:t>
      </w:r>
      <w:r w:rsidR="007E65EB">
        <w:t>DH noterer med tilfredshed, at det anerkendes, at QALY ikke altid kan anvendes meningsfuldt for mindre og sjældne patient- og hand</w:t>
      </w:r>
      <w:r w:rsidR="007E65EB">
        <w:t>i</w:t>
      </w:r>
      <w:r w:rsidR="007E65EB">
        <w:t xml:space="preserve">capgrupper. </w:t>
      </w:r>
      <w:r>
        <w:t xml:space="preserve">Det bør tydeliggøres og efterleves i Rådets praksis. </w:t>
      </w:r>
    </w:p>
    <w:p w14:paraId="490EE21C" w14:textId="3AD9F163" w:rsidR="007E65EB" w:rsidRDefault="007E65EB" w:rsidP="004F1ED7"/>
    <w:p w14:paraId="560E2713" w14:textId="4A400584" w:rsidR="007E65EB" w:rsidRDefault="007E65EB" w:rsidP="004F1ED7">
      <w:r>
        <w:t>DH opfordrer til, at der sker en evaluering af anvendelse af QALY</w:t>
      </w:r>
      <w:r w:rsidR="00D31D94">
        <w:t xml:space="preserve"> efter to år. </w:t>
      </w:r>
      <w:r w:rsidR="00003113">
        <w:t xml:space="preserve">Der skal derefter tages fornyet stilling til anvendelse af QALY på baggrund af de indhentede erfaringer. </w:t>
      </w:r>
    </w:p>
    <w:p w14:paraId="048F9DAC" w14:textId="553595E3" w:rsidR="00856A68" w:rsidRDefault="00856A68" w:rsidP="00856A68">
      <w:pPr>
        <w:pStyle w:val="Overskrift2"/>
      </w:pPr>
      <w:r>
        <w:t>Arbejdsvilkår for patientrepræsentanter i Medicinrådet</w:t>
      </w:r>
    </w:p>
    <w:p w14:paraId="03C3FE2F" w14:textId="6052AC9E" w:rsidR="00856A68" w:rsidRDefault="00856A68" w:rsidP="004F1ED7"/>
    <w:p w14:paraId="488553A6" w14:textId="77777777" w:rsidR="00856A68" w:rsidRDefault="00856A68" w:rsidP="004F1ED7">
      <w:r>
        <w:t xml:space="preserve">Honorering af patientrepræsentanterne er ikke adresseret i Danske Regioners forslag til ændringer. </w:t>
      </w:r>
    </w:p>
    <w:p w14:paraId="5F3DE441" w14:textId="77777777" w:rsidR="00856A68" w:rsidRDefault="00856A68" w:rsidP="004F1ED7"/>
    <w:p w14:paraId="5EB5148B" w14:textId="5488A553" w:rsidR="00856A68" w:rsidRDefault="00856A68" w:rsidP="004F1ED7">
      <w:r>
        <w:t xml:space="preserve">DH mener, det er principielt forkert, at patientrepræsentanter i fagudvalg – i </w:t>
      </w:r>
      <w:r w:rsidR="0048075E">
        <w:t>modsætninger til andre delt</w:t>
      </w:r>
      <w:r w:rsidR="0048075E">
        <w:t>a</w:t>
      </w:r>
      <w:r w:rsidR="0048075E">
        <w:t xml:space="preserve">gere arbejdet som fx privatpraktiserende læger eller andre selvstændigt erhvervsdrivende – ikke kan få erstatning for tabt arbejdsfortjeneste. Det bør ændres. </w:t>
      </w:r>
    </w:p>
    <w:p w14:paraId="094662C2" w14:textId="18A3D588" w:rsidR="00856A68" w:rsidRDefault="00856A68" w:rsidP="004F1ED7"/>
    <w:p w14:paraId="6043732F" w14:textId="308ECEF9" w:rsidR="0048075E" w:rsidRDefault="0048075E" w:rsidP="004F1ED7">
      <w:r>
        <w:t xml:space="preserve">DH </w:t>
      </w:r>
      <w:proofErr w:type="gramStart"/>
      <w:r>
        <w:t>er mener</w:t>
      </w:r>
      <w:proofErr w:type="gramEnd"/>
      <w:r>
        <w:t xml:space="preserve"> også principielt, at patientrepræsentanter i Medicinrådet bør modtage honorar for deres de</w:t>
      </w:r>
      <w:r>
        <w:t>l</w:t>
      </w:r>
      <w:r>
        <w:t xml:space="preserve">tagelse.  </w:t>
      </w:r>
    </w:p>
    <w:p w14:paraId="4975D10C" w14:textId="5313D89C" w:rsidR="00003113" w:rsidRPr="003806B3" w:rsidRDefault="00003113" w:rsidP="003806B3">
      <w:pPr>
        <w:pStyle w:val="Overskrift2"/>
      </w:pPr>
      <w:r w:rsidRPr="003806B3">
        <w:t>Anvendelse af ikke</w:t>
      </w:r>
      <w:r w:rsidR="003806B3" w:rsidRPr="003806B3">
        <w:t>-publicerede data</w:t>
      </w:r>
    </w:p>
    <w:p w14:paraId="7DE8E64E" w14:textId="6C941449" w:rsidR="003806B3" w:rsidRDefault="003806B3" w:rsidP="004F1ED7">
      <w:r>
        <w:t xml:space="preserve">Der lægges op til at tillade anvendelse af relevante ikke-publicerede data om lægemidlers kliniske effekt. DH mener, at det er positivt skridt. </w:t>
      </w:r>
    </w:p>
    <w:p w14:paraId="2DBDA10D" w14:textId="39D4416B" w:rsidR="0048075E" w:rsidRDefault="0048075E" w:rsidP="0048075E">
      <w:pPr>
        <w:pStyle w:val="Overskrift2"/>
      </w:pPr>
      <w:proofErr w:type="spellStart"/>
      <w:r>
        <w:t>Off</w:t>
      </w:r>
      <w:proofErr w:type="spellEnd"/>
      <w:r>
        <w:t>-label anvendelse af et lægemiddel</w:t>
      </w:r>
    </w:p>
    <w:p w14:paraId="1EDE8914" w14:textId="7C2F377C" w:rsidR="0048075E" w:rsidRDefault="0048075E" w:rsidP="004F1ED7"/>
    <w:p w14:paraId="6CDD5B13" w14:textId="1EA46626" w:rsidR="0048075E" w:rsidRDefault="0048075E" w:rsidP="004F1ED7">
      <w:r>
        <w:t xml:space="preserve">Der bør ses på, om ikke fagudvalg bør have mulighed at inddrage evidens fra lægemiddel, som anvendes </w:t>
      </w:r>
      <w:proofErr w:type="spellStart"/>
      <w:r>
        <w:t>off</w:t>
      </w:r>
      <w:proofErr w:type="spellEnd"/>
      <w:r>
        <w:t xml:space="preserve">-label. Desuden </w:t>
      </w:r>
      <w:r w:rsidR="00487374">
        <w:t xml:space="preserve">bør </w:t>
      </w:r>
      <w:r>
        <w:t xml:space="preserve">det være muligt for Medicinrådet at komme med anbefalinger for </w:t>
      </w:r>
      <w:proofErr w:type="spellStart"/>
      <w:r>
        <w:t>off</w:t>
      </w:r>
      <w:proofErr w:type="spellEnd"/>
      <w:r>
        <w:t>-label anvende</w:t>
      </w:r>
      <w:r>
        <w:t>l</w:t>
      </w:r>
      <w:r>
        <w:t xml:space="preserve">se. </w:t>
      </w:r>
    </w:p>
    <w:p w14:paraId="188B13F1" w14:textId="58643BA3" w:rsidR="00122597" w:rsidRDefault="00122597" w:rsidP="00122597">
      <w:pPr>
        <w:pStyle w:val="Overskrift2"/>
      </w:pPr>
      <w:r>
        <w:t>Styrket inddragelse af patienternes perspektiv og viden</w:t>
      </w:r>
    </w:p>
    <w:p w14:paraId="1850CE42" w14:textId="4F46F718" w:rsidR="00122597" w:rsidRDefault="00122597" w:rsidP="004F1ED7">
      <w:r>
        <w:t xml:space="preserve">Der står ikke </w:t>
      </w:r>
      <w:r w:rsidR="00003113">
        <w:t xml:space="preserve">noget </w:t>
      </w:r>
      <w:r>
        <w:t xml:space="preserve">om, hvordan dialogen med patienterne i fagudvalget </w:t>
      </w:r>
      <w:r w:rsidR="00003113">
        <w:t xml:space="preserve">styrkes med henblik på </w:t>
      </w:r>
      <w:r>
        <w:t>bedre u</w:t>
      </w:r>
      <w:r>
        <w:t>d</w:t>
      </w:r>
      <w:r>
        <w:t xml:space="preserve">nyttelse af </w:t>
      </w:r>
      <w:r w:rsidR="00003113">
        <w:t>patienternes perspektiv og viden</w:t>
      </w:r>
      <w:r>
        <w:t xml:space="preserve">. </w:t>
      </w:r>
    </w:p>
    <w:p w14:paraId="7526EC66" w14:textId="4D4952CE" w:rsidR="00122597" w:rsidRDefault="00122597" w:rsidP="004F1ED7"/>
    <w:p w14:paraId="682E6F83" w14:textId="77777777" w:rsidR="00003113" w:rsidRDefault="00122597" w:rsidP="004F1ED7">
      <w:r>
        <w:t xml:space="preserve">DH opfordrer til, at det gøres til et af de forslag, der skal arbejdes videre med. </w:t>
      </w:r>
    </w:p>
    <w:p w14:paraId="7C3179C6" w14:textId="77777777" w:rsidR="00003113" w:rsidRDefault="00003113" w:rsidP="004F1ED7"/>
    <w:p w14:paraId="10FA93E9" w14:textId="597900BD" w:rsidR="00122597" w:rsidRDefault="00122597" w:rsidP="004F1ED7">
      <w:r>
        <w:t xml:space="preserve">Desuden bør der laves </w:t>
      </w:r>
      <w:r w:rsidR="00003113">
        <w:t>klarere r</w:t>
      </w:r>
      <w:r>
        <w:t>etningslinjer for, hvordan systematisk indsamlet viden om patienters præf</w:t>
      </w:r>
      <w:r>
        <w:t>e</w:t>
      </w:r>
      <w:r>
        <w:t xml:space="preserve">rencer (PRO-data) kan indgå i </w:t>
      </w:r>
      <w:r w:rsidR="00003113">
        <w:t xml:space="preserve">Rådets beslutningsgrundlag. </w:t>
      </w:r>
      <w:r>
        <w:t xml:space="preserve"> </w:t>
      </w:r>
    </w:p>
    <w:p w14:paraId="2804059E" w14:textId="3D68E1CB" w:rsidR="00122597" w:rsidRDefault="00A25472" w:rsidP="00003113">
      <w:pPr>
        <w:pStyle w:val="Overskrift2"/>
      </w:pPr>
      <w:r>
        <w:t>Ibrugtagning af ikke-anbefalede lægemidler</w:t>
      </w:r>
    </w:p>
    <w:p w14:paraId="7BAB019C" w14:textId="1EA26C4B" w:rsidR="00A25472" w:rsidRDefault="00A25472" w:rsidP="004F1ED7"/>
    <w:p w14:paraId="031C6E76" w14:textId="77777777" w:rsidR="00A25472" w:rsidRDefault="00A25472" w:rsidP="004F1ED7">
      <w:r>
        <w:t xml:space="preserve">Det er et af Folketingets 7. principper, at der skal være mulighed for at behandle patienter – efter lægefaglig vurdering – med lægemidler, der ikke er godkendt til standardbehandling. </w:t>
      </w:r>
    </w:p>
    <w:p w14:paraId="1248BBC7" w14:textId="77777777" w:rsidR="00A25472" w:rsidRDefault="00A25472" w:rsidP="004F1ED7"/>
    <w:p w14:paraId="10A0AE79" w14:textId="77777777" w:rsidR="00A25472" w:rsidRDefault="00A25472" w:rsidP="004F1ED7">
      <w:r>
        <w:t>Det er vigtigt at holde fast i, at dette også skal fungere i praksis og uden regionale forskelle.  I dag er der forskellige regionale økonomisk modeller for kompensation til det enkelte sygehus for udgiften til lægemi</w:t>
      </w:r>
      <w:r>
        <w:t>d</w:t>
      </w:r>
      <w:r>
        <w:t xml:space="preserve">ler, der ikke er anbefalet til standardbehandling. </w:t>
      </w:r>
    </w:p>
    <w:p w14:paraId="1E89DC79" w14:textId="77777777" w:rsidR="00A25472" w:rsidRDefault="00A25472" w:rsidP="004F1ED7"/>
    <w:p w14:paraId="04B3118B" w14:textId="77777777" w:rsidR="00487374" w:rsidRDefault="00A25472" w:rsidP="004F1ED7">
      <w:r>
        <w:t xml:space="preserve">DH opfordrer til, at man overvåger ibrugtagningen af ikke-anbefalede lægemidler nøje. </w:t>
      </w:r>
    </w:p>
    <w:p w14:paraId="7AD24BC5" w14:textId="77777777" w:rsidR="00487374" w:rsidRDefault="00487374" w:rsidP="004F1ED7"/>
    <w:p w14:paraId="632D80D7" w14:textId="29353F83" w:rsidR="00863A9A" w:rsidRDefault="00A25472" w:rsidP="004F1ED7">
      <w:r>
        <w:lastRenderedPageBreak/>
        <w:t xml:space="preserve">Desuden bør der være en ensartet afregning for at </w:t>
      </w:r>
      <w:r w:rsidR="00863A9A">
        <w:t>eliminere regionale forskelle i incitamenterne i adga</w:t>
      </w:r>
      <w:r w:rsidR="00863A9A">
        <w:t>n</w:t>
      </w:r>
      <w:r w:rsidR="00863A9A">
        <w:t xml:space="preserve">gen til disse lægemidler til patienterne. </w:t>
      </w:r>
    </w:p>
    <w:p w14:paraId="235A22CA" w14:textId="77777777" w:rsidR="00863A9A" w:rsidRDefault="00863A9A" w:rsidP="004F1ED7"/>
    <w:p w14:paraId="58213E41" w14:textId="565EB3CF" w:rsidR="00A25472" w:rsidRDefault="00A25472" w:rsidP="004F1ED7">
      <w:r>
        <w:t xml:space="preserve"> </w:t>
      </w:r>
    </w:p>
    <w:p w14:paraId="440DFBCD" w14:textId="155917F6" w:rsidR="00A25472" w:rsidRDefault="00A25472" w:rsidP="004F1ED7"/>
    <w:p w14:paraId="15F904DF" w14:textId="77777777" w:rsidR="00A25472" w:rsidRDefault="00A25472" w:rsidP="004F1ED7"/>
    <w:p w14:paraId="134B46FD" w14:textId="193CCB0C" w:rsidR="00A25472" w:rsidRDefault="00A25472" w:rsidP="004F1ED7"/>
    <w:p w14:paraId="4C463DC9" w14:textId="77777777" w:rsidR="00A25472" w:rsidRDefault="00A25472" w:rsidP="004F1ED7"/>
    <w:p w14:paraId="7EA7BF1E" w14:textId="77777777" w:rsidR="00122597" w:rsidRDefault="00122597" w:rsidP="004F1ED7"/>
    <w:p w14:paraId="273B102D" w14:textId="3C86245F" w:rsidR="0048075E" w:rsidRDefault="0048075E" w:rsidP="004F1ED7"/>
    <w:p w14:paraId="012E1CB8" w14:textId="77777777" w:rsidR="00122597" w:rsidRDefault="00122597" w:rsidP="004F1ED7"/>
    <w:p w14:paraId="3A707E44" w14:textId="149B5C92" w:rsidR="0048075E" w:rsidRDefault="0048075E" w:rsidP="004F1ED7">
      <w:r>
        <w:t xml:space="preserve"> </w:t>
      </w:r>
    </w:p>
    <w:p w14:paraId="626FBBF3" w14:textId="77777777" w:rsidR="00094ABD" w:rsidRDefault="00066648" w:rsidP="006900C2">
      <w:pPr>
        <w:keepNext/>
        <w:keepLines/>
      </w:pPr>
      <w:r>
        <w:t>Med venlig hilsen</w:t>
      </w:r>
    </w:p>
    <w:p w14:paraId="626FBBF4" w14:textId="77777777" w:rsidR="00094ABD" w:rsidRDefault="00094ABD" w:rsidP="006900C2">
      <w:pPr>
        <w:keepNext/>
        <w:keepLines/>
      </w:pPr>
    </w:p>
    <w:p w14:paraId="626FBBF5" w14:textId="77777777" w:rsidR="00094ABD" w:rsidRDefault="00094ABD" w:rsidP="006900C2">
      <w:pPr>
        <w:keepNext/>
        <w:keepLines/>
      </w:pPr>
    </w:p>
    <w:p w14:paraId="626FBBF6" w14:textId="3A85D1A5" w:rsidR="00094ABD" w:rsidRDefault="00487374" w:rsidP="006900C2">
      <w:pPr>
        <w:keepNext/>
        <w:keepLines/>
      </w:pPr>
      <w:r w:rsidRPr="00487374">
        <w:rPr>
          <w:rFonts w:eastAsia="Calibri"/>
          <w:noProof/>
          <w:lang w:eastAsia="da-DK"/>
        </w:rPr>
        <w:drawing>
          <wp:inline distT="0" distB="0" distL="0" distR="0" wp14:anchorId="3AC86AC1" wp14:editId="35B4305A">
            <wp:extent cx="1409700" cy="358140"/>
            <wp:effectExtent l="0" t="0" r="0" b="3810"/>
            <wp:docPr id="1" name="Billede 1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E221" w14:textId="77777777" w:rsidR="00487374" w:rsidRDefault="00487374" w:rsidP="00F0783E">
      <w:pPr>
        <w:keepNext/>
        <w:keepLines/>
      </w:pPr>
    </w:p>
    <w:p w14:paraId="0D464D18" w14:textId="77777777" w:rsidR="00487374" w:rsidRDefault="00487374" w:rsidP="00F0783E">
      <w:pPr>
        <w:keepNext/>
        <w:keepLines/>
      </w:pPr>
    </w:p>
    <w:p w14:paraId="626FBBF7" w14:textId="72E9C563" w:rsidR="007A5D34" w:rsidRDefault="00066648" w:rsidP="00F0783E">
      <w:pPr>
        <w:keepNext/>
        <w:keepLines/>
      </w:pPr>
      <w:r>
        <w:t>Thorkild Olesen</w:t>
      </w:r>
    </w:p>
    <w:p w14:paraId="11B56334" w14:textId="26E04825" w:rsidR="00066648" w:rsidRDefault="00066648" w:rsidP="00F0783E">
      <w:pPr>
        <w:keepNext/>
        <w:keepLines/>
      </w:pPr>
      <w:r>
        <w:t>formand</w:t>
      </w:r>
    </w:p>
    <w:sectPr w:rsidR="00066648" w:rsidSect="00E10A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F0DA" w14:textId="77777777" w:rsidR="00714ED6" w:rsidRDefault="00714ED6">
      <w:pPr>
        <w:spacing w:line="240" w:lineRule="auto"/>
      </w:pPr>
      <w:r>
        <w:separator/>
      </w:r>
    </w:p>
  </w:endnote>
  <w:endnote w:type="continuationSeparator" w:id="0">
    <w:p w14:paraId="44C9CAB9" w14:textId="77777777" w:rsidR="00714ED6" w:rsidRDefault="0071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BBFB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BBFC" w14:textId="77777777" w:rsidR="00E9405E" w:rsidRDefault="0006664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FBC02" wp14:editId="626FBC03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6FBC0A" w14:textId="47BAB191" w:rsidR="004F1A28" w:rsidRDefault="00066648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A436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A43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626FBC0A" w14:textId="47BAB191" w:rsidR="004F1A28" w:rsidRDefault="00066648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A436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A436A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7E27BF" w14:paraId="626FBC00" w14:textId="77777777" w:rsidTr="00C62171">
      <w:tc>
        <w:tcPr>
          <w:tcW w:w="10915" w:type="dxa"/>
        </w:tcPr>
        <w:p w14:paraId="626FBBFF" w14:textId="77777777" w:rsidR="0087744F" w:rsidRPr="00310FAA" w:rsidRDefault="00066648" w:rsidP="00C62171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 xml:space="preserve">34 </w:t>
          </w:r>
          <w:proofErr w:type="spellStart"/>
          <w:r w:rsidRPr="00310FAA">
            <w:t>handicaporganisationer</w:t>
          </w:r>
          <w:proofErr w:type="spellEnd"/>
          <w:r w:rsidRPr="00310FAA">
            <w:t xml:space="preserve"> med cirka 340.000 medlemmer er tilsluttet DH.</w:t>
          </w:r>
        </w:p>
      </w:tc>
    </w:tr>
  </w:tbl>
  <w:p w14:paraId="626FBC01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8890" w14:textId="77777777" w:rsidR="00714ED6" w:rsidRDefault="00714ED6">
      <w:pPr>
        <w:spacing w:line="240" w:lineRule="auto"/>
      </w:pPr>
      <w:r>
        <w:separator/>
      </w:r>
    </w:p>
  </w:footnote>
  <w:footnote w:type="continuationSeparator" w:id="0">
    <w:p w14:paraId="6736DBD4" w14:textId="77777777" w:rsidR="00714ED6" w:rsidRDefault="00714ED6">
      <w:pPr>
        <w:spacing w:line="240" w:lineRule="auto"/>
      </w:pPr>
      <w:r>
        <w:continuationSeparator/>
      </w:r>
    </w:p>
  </w:footnote>
  <w:footnote w:id="1">
    <w:p w14:paraId="0DFE0C1C" w14:textId="6F15CDC0" w:rsidR="00F806DA" w:rsidRDefault="00F806D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3059CF">
          <w:rPr>
            <w:rStyle w:val="Hyperlink"/>
          </w:rPr>
          <w:t>https://handicap.dk/politik/vidensbank?search=medicinr%C3%A5det</w:t>
        </w:r>
      </w:hyperlink>
    </w:p>
    <w:p w14:paraId="5603BB35" w14:textId="77777777" w:rsidR="00F806DA" w:rsidRDefault="00F806D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BBF8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BBF9" w14:textId="77777777" w:rsidR="00022BE5" w:rsidRDefault="00022BE5" w:rsidP="00022BE5">
    <w:pPr>
      <w:pStyle w:val="Sidehoved"/>
    </w:pPr>
  </w:p>
  <w:p w14:paraId="626FBBFA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BBFD" w14:textId="77777777" w:rsidR="002762D8" w:rsidRDefault="00066648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26FBC04" wp14:editId="626FBC05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626FBC06" wp14:editId="626FBC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FBBFE" w14:textId="77777777" w:rsidR="008F4D20" w:rsidRPr="00F4074D" w:rsidRDefault="00066648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626FBC08" wp14:editId="626FBC09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7E27BF" w14:paraId="626FBC13" w14:textId="77777777" w:rsidTr="004D35CC">
                            <w:tc>
                              <w:tcPr>
                                <w:tcW w:w="1960" w:type="dxa"/>
                              </w:tcPr>
                              <w:p w14:paraId="626FBC0B" w14:textId="77777777" w:rsidR="00244D70" w:rsidRPr="00244D70" w:rsidRDefault="00066648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626FBC0C" w14:textId="77777777" w:rsidR="00244D70" w:rsidRPr="00244D70" w:rsidRDefault="00066648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626FBC0D" w14:textId="77777777" w:rsidR="00244D70" w:rsidRDefault="00066648" w:rsidP="00244D7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626FBC0E" w14:textId="77777777" w:rsidR="00F0152B" w:rsidRPr="00244D70" w:rsidRDefault="00066648" w:rsidP="00244D70">
                                <w:pPr>
                                  <w:pStyle w:val="Template-Adresse"/>
                                </w:pPr>
                                <w:r>
                                  <w:t>Fax</w:t>
                                </w:r>
                                <w:r w:rsidR="004166DD">
                                  <w:t>: +45 3675 1403</w:t>
                                </w:r>
                              </w:p>
                              <w:p w14:paraId="626FBC0F" w14:textId="77777777" w:rsidR="00244D70" w:rsidRDefault="00066648" w:rsidP="001542A8">
                                <w:pPr>
                                  <w:pStyle w:val="Template-Adresse"/>
                                </w:pPr>
                                <w:r>
                                  <w:t>dh@handicapdk</w:t>
                                </w:r>
                              </w:p>
                              <w:p w14:paraId="626FBC10" w14:textId="77777777" w:rsidR="00F0152B" w:rsidRDefault="00066648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626FBC11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626FBC12" w14:textId="77777777" w:rsidR="00F0152B" w:rsidRPr="008D4691" w:rsidRDefault="00066648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23. september 2019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163759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456335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626FBC14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7E27BF" w14:paraId="626FBC13" w14:textId="77777777" w:rsidTr="004D35CC">
                      <w:tc>
                        <w:tcPr>
                          <w:tcW w:w="1960" w:type="dxa"/>
                        </w:tcPr>
                        <w:p w14:paraId="626FBC0B" w14:textId="77777777" w:rsidR="00244D70" w:rsidRPr="00244D70" w:rsidRDefault="00066648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626FBC0C" w14:textId="77777777" w:rsidR="00244D70" w:rsidRPr="00244D70" w:rsidRDefault="00066648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626FBC0D" w14:textId="77777777" w:rsidR="00244D70" w:rsidRDefault="00066648" w:rsidP="00244D7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626FBC0E" w14:textId="77777777" w:rsidR="00F0152B" w:rsidRPr="00244D70" w:rsidRDefault="00066648" w:rsidP="00244D70">
                          <w:pPr>
                            <w:pStyle w:val="Template-Adresse"/>
                          </w:pPr>
                          <w:r>
                            <w:t>Fax</w:t>
                          </w:r>
                          <w:r w:rsidR="004166DD">
                            <w:t>: +45 3675 1403</w:t>
                          </w:r>
                        </w:p>
                        <w:p w14:paraId="626FBC0F" w14:textId="77777777" w:rsidR="00244D70" w:rsidRDefault="00066648" w:rsidP="001542A8">
                          <w:pPr>
                            <w:pStyle w:val="Template-Adresse"/>
                          </w:pPr>
                          <w:r>
                            <w:t>dh@handicapdk</w:t>
                          </w:r>
                        </w:p>
                        <w:p w14:paraId="626FBC10" w14:textId="77777777" w:rsidR="00F0152B" w:rsidRDefault="00066648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626FBC11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626FBC12" w14:textId="77777777" w:rsidR="00F0152B" w:rsidRPr="008D4691" w:rsidRDefault="00066648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23. september 2019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163759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456335</w:t>
                          </w:r>
                          <w:bookmarkEnd w:id="11"/>
                        </w:p>
                      </w:tc>
                    </w:tr>
                  </w:tbl>
                  <w:p w14:paraId="626FBC14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E"/>
    <w:rsid w:val="00001DEE"/>
    <w:rsid w:val="00002F2E"/>
    <w:rsid w:val="00003113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66648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22597"/>
    <w:rsid w:val="0013244F"/>
    <w:rsid w:val="0015406F"/>
    <w:rsid w:val="001542A8"/>
    <w:rsid w:val="00182651"/>
    <w:rsid w:val="00196791"/>
    <w:rsid w:val="001B5BA9"/>
    <w:rsid w:val="001C147D"/>
    <w:rsid w:val="001E48F5"/>
    <w:rsid w:val="001F566D"/>
    <w:rsid w:val="00206D61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302527"/>
    <w:rsid w:val="003033F8"/>
    <w:rsid w:val="00310FAA"/>
    <w:rsid w:val="00330AD0"/>
    <w:rsid w:val="00334592"/>
    <w:rsid w:val="00361BC1"/>
    <w:rsid w:val="003806B3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8075E"/>
    <w:rsid w:val="00487374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14ED6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27BF"/>
    <w:rsid w:val="007E373C"/>
    <w:rsid w:val="007E65EB"/>
    <w:rsid w:val="008002CE"/>
    <w:rsid w:val="00810A86"/>
    <w:rsid w:val="0082034F"/>
    <w:rsid w:val="00834A5D"/>
    <w:rsid w:val="00836161"/>
    <w:rsid w:val="008408A0"/>
    <w:rsid w:val="00856A68"/>
    <w:rsid w:val="00863A9A"/>
    <w:rsid w:val="0087744F"/>
    <w:rsid w:val="00885E3C"/>
    <w:rsid w:val="008866FE"/>
    <w:rsid w:val="00892D08"/>
    <w:rsid w:val="00893791"/>
    <w:rsid w:val="008A6A4F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A25472"/>
    <w:rsid w:val="00A51DA1"/>
    <w:rsid w:val="00A76948"/>
    <w:rsid w:val="00A774BC"/>
    <w:rsid w:val="00A91DA5"/>
    <w:rsid w:val="00AA4E87"/>
    <w:rsid w:val="00AB4582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A436A"/>
    <w:rsid w:val="00CC6322"/>
    <w:rsid w:val="00CE5168"/>
    <w:rsid w:val="00CE57E0"/>
    <w:rsid w:val="00D23C1F"/>
    <w:rsid w:val="00D27D0E"/>
    <w:rsid w:val="00D31954"/>
    <w:rsid w:val="00D31D94"/>
    <w:rsid w:val="00D3752F"/>
    <w:rsid w:val="00D53670"/>
    <w:rsid w:val="00D55E11"/>
    <w:rsid w:val="00D74908"/>
    <w:rsid w:val="00D87C66"/>
    <w:rsid w:val="00D96141"/>
    <w:rsid w:val="00DB31AF"/>
    <w:rsid w:val="00DB6858"/>
    <w:rsid w:val="00DC246F"/>
    <w:rsid w:val="00DC61BD"/>
    <w:rsid w:val="00DD1936"/>
    <w:rsid w:val="00DE2B28"/>
    <w:rsid w:val="00DE2EB8"/>
    <w:rsid w:val="00E10AC0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806DA"/>
    <w:rsid w:val="00FC09D2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F806DA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F806DA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CFE3CC.C4E6D75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icap.dk/politik/vidensbank?search=medicinr%C3%A5de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Skabeloner2019\DH%20brev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AE7D37A7C8449B76224ABAAF6C1E" ma:contentTypeVersion="0" ma:contentTypeDescription="Create a new document." ma:contentTypeScope="" ma:versionID="497e0565beac80f44ffa0ee81f7d07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BC3C-7B4E-4AFF-A119-36F392DA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E83E0-C8F7-4014-BB46-3E729AC1E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E5F54C-6D81-4735-A9BE-26A7AE28A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470C1-33BA-4E3B-A503-36D7042E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</Template>
  <TotalTime>0</TotalTime>
  <Pages>3</Pages>
  <Words>557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 Anton Tingstrøm Klinken</dc:creator>
  <cp:lastModifiedBy>Karen Kristine Grove Sørensen</cp:lastModifiedBy>
  <cp:revision>2</cp:revision>
  <cp:lastPrinted>2019-09-25T17:09:00Z</cp:lastPrinted>
  <dcterms:created xsi:type="dcterms:W3CDTF">2019-10-04T12:28:00Z</dcterms:created>
  <dcterms:modified xsi:type="dcterms:W3CDTF">2019-10-04T12:28:00Z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0x0101003E1FAE7D37A7C8449B76224ABAAF6C1E</vt:lpwstr>
  </property>
  <property fmtid="{D5CDD505-2E9C-101B-9397-08002B2CF9AE}" pid="3" name="TeamShareLastOpen">
    <vt:lpwstr>25-09-2019 18:42:16</vt:lpwstr>
  </property>
</Properties>
</file>