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39060" w14:textId="77777777" w:rsidR="00D277CA" w:rsidRPr="006E06F1" w:rsidRDefault="00D277CA" w:rsidP="00D277CA">
      <w:pPr>
        <w:jc w:val="left"/>
        <w:rPr>
          <w:sz w:val="20"/>
        </w:rPr>
      </w:pPr>
      <w:r>
        <w:rPr>
          <w:sz w:val="20"/>
        </w:rPr>
        <w:t xml:space="preserve">Dokument oprettet </w:t>
      </w:r>
      <w:bookmarkStart w:id="0" w:name="dato"/>
      <w:r w:rsidRPr="006E06F1">
        <w:rPr>
          <w:sz w:val="20"/>
        </w:rPr>
        <w:t>29. november 2017</w:t>
      </w:r>
      <w:bookmarkEnd w:id="0"/>
    </w:p>
    <w:p w14:paraId="3B239061" w14:textId="77777777" w:rsidR="00D277CA" w:rsidRPr="00DC39F3" w:rsidRDefault="00D277CA" w:rsidP="00D277CA">
      <w:pPr>
        <w:jc w:val="left"/>
        <w:rPr>
          <w:sz w:val="20"/>
        </w:rPr>
      </w:pPr>
      <w:r w:rsidRPr="00DC39F3">
        <w:rPr>
          <w:sz w:val="20"/>
        </w:rPr>
        <w:t xml:space="preserve">Sag </w:t>
      </w:r>
      <w:bookmarkStart w:id="1" w:name="sagsnummer"/>
      <w:r w:rsidRPr="00DC39F3">
        <w:rPr>
          <w:sz w:val="20"/>
        </w:rPr>
        <w:t>18-2017-00647</w:t>
      </w:r>
      <w:bookmarkEnd w:id="1"/>
      <w:r w:rsidRPr="00DC39F3">
        <w:rPr>
          <w:sz w:val="20"/>
        </w:rPr>
        <w:t xml:space="preserve"> – Dok. </w:t>
      </w:r>
      <w:bookmarkStart w:id="2" w:name="dokumentnr"/>
      <w:proofErr w:type="gramStart"/>
      <w:r w:rsidRPr="00DC39F3">
        <w:rPr>
          <w:sz w:val="20"/>
        </w:rPr>
        <w:t>346404</w:t>
      </w:r>
      <w:bookmarkEnd w:id="2"/>
      <w:proofErr w:type="gramEnd"/>
      <w:r w:rsidRPr="00DC39F3">
        <w:rPr>
          <w:sz w:val="20"/>
        </w:rPr>
        <w:t>/</w:t>
      </w:r>
      <w:bookmarkStart w:id="3" w:name="brugerinitialer"/>
      <w:proofErr w:type="spellStart"/>
      <w:r w:rsidRPr="00DC39F3">
        <w:rPr>
          <w:sz w:val="20"/>
        </w:rPr>
        <w:t>tb_dh</w:t>
      </w:r>
      <w:bookmarkEnd w:id="3"/>
      <w:proofErr w:type="spellEnd"/>
    </w:p>
    <w:p w14:paraId="3B239062" w14:textId="77777777" w:rsidR="00D277CA" w:rsidRPr="00DC39F3" w:rsidRDefault="00D277CA" w:rsidP="00D277CA"/>
    <w:p w14:paraId="3B239063" w14:textId="77777777" w:rsidR="00D277CA" w:rsidRPr="00DC39F3" w:rsidRDefault="00D277CA" w:rsidP="00D277CA"/>
    <w:p w14:paraId="3B239064" w14:textId="77777777" w:rsidR="00D277CA" w:rsidRPr="00CB2CB5" w:rsidRDefault="00D277CA" w:rsidP="00CB2CB5">
      <w:pPr>
        <w:pBdr>
          <w:bottom w:val="single" w:sz="4" w:space="1" w:color="auto"/>
        </w:pBdr>
        <w:jc w:val="left"/>
        <w:rPr>
          <w:rFonts w:ascii="Arial" w:hAnsi="Arial" w:cs="Arial"/>
          <w:b/>
          <w:sz w:val="36"/>
          <w:szCs w:val="36"/>
        </w:rPr>
      </w:pPr>
      <w:bookmarkStart w:id="4" w:name="dokumenttitel"/>
      <w:r w:rsidRPr="00CB2CB5">
        <w:rPr>
          <w:rFonts w:ascii="Arial" w:hAnsi="Arial" w:cs="Arial"/>
          <w:b/>
          <w:sz w:val="36"/>
          <w:szCs w:val="36"/>
        </w:rPr>
        <w:t>Kommentarer fra Danske Handicaporganisationer til vejledning til elevatorbestemmelserne i BR18</w:t>
      </w:r>
      <w:bookmarkEnd w:id="4"/>
    </w:p>
    <w:p w14:paraId="3B239065" w14:textId="77777777" w:rsidR="00D277CA" w:rsidRDefault="00D277CA" w:rsidP="00D277CA"/>
    <w:p w14:paraId="5B1D6D15" w14:textId="175DFFC1" w:rsidR="00D277CA" w:rsidRPr="0045537F" w:rsidRDefault="00D277CA" w:rsidP="00997ED0">
      <w:pPr>
        <w:rPr>
          <w:sz w:val="24"/>
          <w:szCs w:val="24"/>
        </w:rPr>
      </w:pPr>
      <w:r w:rsidRPr="0045537F">
        <w:rPr>
          <w:sz w:val="24"/>
          <w:szCs w:val="24"/>
        </w:rPr>
        <w:t>DH takker for muligheden for at kommentere på vejledningen til elevatorbestemmelserne i Bygningsreglement 2018 (BR18).</w:t>
      </w:r>
    </w:p>
    <w:p w14:paraId="2ACA1C25" w14:textId="77777777" w:rsidR="0045537F" w:rsidRDefault="0045537F" w:rsidP="0045537F">
      <w:pPr>
        <w:rPr>
          <w:sz w:val="24"/>
          <w:szCs w:val="24"/>
        </w:rPr>
      </w:pPr>
    </w:p>
    <w:p w14:paraId="1EEBBF4A" w14:textId="350DE52A" w:rsidR="003F244E" w:rsidRPr="0045537F" w:rsidRDefault="003F244E" w:rsidP="003F244E">
      <w:pPr>
        <w:rPr>
          <w:sz w:val="24"/>
          <w:szCs w:val="24"/>
        </w:rPr>
      </w:pPr>
      <w:r>
        <w:rPr>
          <w:sz w:val="24"/>
          <w:szCs w:val="24"/>
        </w:rPr>
        <w:t>Som fremhævet i DH’s høringssvar til Bygningsreglement 2018 fra juni måned er det vigtigt for os at fremhæve, at f</w:t>
      </w:r>
      <w:r w:rsidRPr="00C62421">
        <w:rPr>
          <w:sz w:val="24"/>
          <w:szCs w:val="24"/>
        </w:rPr>
        <w:t xml:space="preserve">or mennesker med handicap skaber det en barriere, at det danske </w:t>
      </w:r>
      <w:r>
        <w:rPr>
          <w:sz w:val="24"/>
          <w:szCs w:val="24"/>
        </w:rPr>
        <w:t xml:space="preserve">bygningsreglement </w:t>
      </w:r>
      <w:r w:rsidRPr="00C62421">
        <w:rPr>
          <w:sz w:val="24"/>
          <w:szCs w:val="24"/>
        </w:rPr>
        <w:t xml:space="preserve">ikke stiller opdaterede krav til elevator i nye bygninger med 2 etager og derover. </w:t>
      </w:r>
      <w:r>
        <w:rPr>
          <w:sz w:val="24"/>
          <w:szCs w:val="24"/>
        </w:rPr>
        <w:t xml:space="preserve">Særligt problematisk er det i bygninger </w:t>
      </w:r>
      <w:r w:rsidRPr="00C62421">
        <w:rPr>
          <w:sz w:val="24"/>
          <w:szCs w:val="24"/>
        </w:rPr>
        <w:t xml:space="preserve">med stueplan og 1. sal, hvor der er offentlig adgang, og hvor der planlægges med liberale erhverv på 1. sal, såsom sundhedsklinikker, administration, kontorer, mv. </w:t>
      </w:r>
      <w:bookmarkStart w:id="5" w:name="_GoBack"/>
      <w:bookmarkEnd w:id="5"/>
    </w:p>
    <w:p w14:paraId="6ABA37B4" w14:textId="77777777" w:rsidR="002A1EA6" w:rsidRDefault="002A1EA6" w:rsidP="002A1EA6">
      <w:pPr>
        <w:pStyle w:val="Listeafsnit"/>
        <w:rPr>
          <w:sz w:val="24"/>
          <w:szCs w:val="24"/>
        </w:rPr>
      </w:pPr>
    </w:p>
    <w:p w14:paraId="3735BF7A" w14:textId="77777777" w:rsidR="002A1EA6" w:rsidRPr="002A1EA6" w:rsidRDefault="002A1EA6" w:rsidP="0045537F">
      <w:pPr>
        <w:pStyle w:val="Listeafsnit"/>
        <w:numPr>
          <w:ilvl w:val="0"/>
          <w:numId w:val="6"/>
        </w:numPr>
        <w:rPr>
          <w:b/>
          <w:sz w:val="24"/>
          <w:szCs w:val="24"/>
        </w:rPr>
      </w:pPr>
      <w:r w:rsidRPr="002A1EA6">
        <w:rPr>
          <w:b/>
          <w:sz w:val="24"/>
          <w:szCs w:val="24"/>
        </w:rPr>
        <w:t>Sammenskrivning af relevant materiale</w:t>
      </w:r>
    </w:p>
    <w:p w14:paraId="7B53F407" w14:textId="3F8706FB" w:rsidR="00CB2CB5" w:rsidRDefault="006F17BA" w:rsidP="002A1EA6">
      <w:pPr>
        <w:pStyle w:val="Listeafsnit"/>
        <w:rPr>
          <w:sz w:val="24"/>
          <w:szCs w:val="24"/>
        </w:rPr>
      </w:pPr>
      <w:r w:rsidRPr="00CB2CB5">
        <w:rPr>
          <w:sz w:val="24"/>
          <w:szCs w:val="24"/>
        </w:rPr>
        <w:t>Overordnet set vil DH</w:t>
      </w:r>
      <w:r w:rsidR="00CB2CB5" w:rsidRPr="00CB2CB5">
        <w:rPr>
          <w:sz w:val="24"/>
          <w:szCs w:val="24"/>
        </w:rPr>
        <w:t xml:space="preserve"> anbefale,</w:t>
      </w:r>
      <w:r w:rsidRPr="00CB2CB5">
        <w:rPr>
          <w:sz w:val="24"/>
          <w:szCs w:val="24"/>
        </w:rPr>
        <w:t xml:space="preserve"> </w:t>
      </w:r>
      <w:r w:rsidR="00CB2CB5" w:rsidRPr="00CB2CB5">
        <w:rPr>
          <w:sz w:val="24"/>
          <w:szCs w:val="24"/>
        </w:rPr>
        <w:t>at man foretager en mere kl</w:t>
      </w:r>
      <w:r w:rsidR="003F244E">
        <w:rPr>
          <w:sz w:val="24"/>
          <w:szCs w:val="24"/>
        </w:rPr>
        <w:t>ar sammenskrivning af alle de</w:t>
      </w:r>
      <w:r w:rsidR="00CB2CB5" w:rsidRPr="00CB2CB5">
        <w:rPr>
          <w:sz w:val="24"/>
          <w:szCs w:val="24"/>
        </w:rPr>
        <w:t xml:space="preserve"> relevante sikkerheds-, </w:t>
      </w:r>
      <w:proofErr w:type="spellStart"/>
      <w:r w:rsidR="00CB2CB5" w:rsidRPr="00CB2CB5">
        <w:rPr>
          <w:sz w:val="24"/>
          <w:szCs w:val="24"/>
        </w:rPr>
        <w:t>maskin</w:t>
      </w:r>
      <w:proofErr w:type="spellEnd"/>
      <w:r w:rsidR="00CB2CB5" w:rsidRPr="00CB2CB5">
        <w:rPr>
          <w:sz w:val="24"/>
          <w:szCs w:val="24"/>
        </w:rPr>
        <w:t xml:space="preserve">-, og </w:t>
      </w:r>
      <w:proofErr w:type="gramStart"/>
      <w:r w:rsidR="00CB2CB5" w:rsidRPr="00CB2CB5">
        <w:rPr>
          <w:sz w:val="24"/>
          <w:szCs w:val="24"/>
        </w:rPr>
        <w:t>–indretningsdirektiver</w:t>
      </w:r>
      <w:proofErr w:type="gramEnd"/>
      <w:r w:rsidR="00CB2CB5" w:rsidRPr="00CB2CB5">
        <w:rPr>
          <w:sz w:val="24"/>
          <w:szCs w:val="24"/>
        </w:rPr>
        <w:t xml:space="preserve"> </w:t>
      </w:r>
      <w:r w:rsidR="003F244E">
        <w:rPr>
          <w:sz w:val="24"/>
          <w:szCs w:val="24"/>
        </w:rPr>
        <w:t>samt</w:t>
      </w:r>
      <w:r w:rsidR="00CB2CB5" w:rsidRPr="00CB2CB5">
        <w:rPr>
          <w:sz w:val="24"/>
          <w:szCs w:val="24"/>
        </w:rPr>
        <w:t xml:space="preserve"> standarder, da det vil lette overskueligheden og anvendeligheden af vejledningen</w:t>
      </w:r>
      <w:r w:rsidR="003F244E">
        <w:rPr>
          <w:sz w:val="24"/>
          <w:szCs w:val="24"/>
        </w:rPr>
        <w:t xml:space="preserve"> til elevatorbestemmelserne i BR18</w:t>
      </w:r>
      <w:r w:rsidR="00CB2CB5" w:rsidRPr="00CB2CB5">
        <w:rPr>
          <w:sz w:val="24"/>
          <w:szCs w:val="24"/>
        </w:rPr>
        <w:t>.</w:t>
      </w:r>
    </w:p>
    <w:p w14:paraId="5F4B95E1" w14:textId="77777777" w:rsidR="00CB2CB5" w:rsidRDefault="00CB2CB5" w:rsidP="00CB2CB5">
      <w:pPr>
        <w:pStyle w:val="Listeafsnit"/>
        <w:rPr>
          <w:sz w:val="24"/>
          <w:szCs w:val="24"/>
        </w:rPr>
      </w:pPr>
    </w:p>
    <w:p w14:paraId="0D88A36A" w14:textId="77777777" w:rsidR="002A1EA6" w:rsidRPr="002A1EA6" w:rsidRDefault="002A1EA6" w:rsidP="00CB2CB5">
      <w:pPr>
        <w:pStyle w:val="Listeafsnit"/>
        <w:numPr>
          <w:ilvl w:val="0"/>
          <w:numId w:val="6"/>
        </w:numPr>
        <w:rPr>
          <w:b/>
          <w:sz w:val="24"/>
          <w:szCs w:val="24"/>
        </w:rPr>
      </w:pPr>
      <w:r w:rsidRPr="002A1EA6">
        <w:rPr>
          <w:b/>
          <w:sz w:val="24"/>
          <w:szCs w:val="24"/>
        </w:rPr>
        <w:t>Sammenligning mellem BR15 og BR18</w:t>
      </w:r>
    </w:p>
    <w:p w14:paraId="15D47A39" w14:textId="43392A15" w:rsidR="00CB2CB5" w:rsidRDefault="00CB2CB5" w:rsidP="002A1EA6">
      <w:pPr>
        <w:pStyle w:val="Listeafsnit"/>
        <w:rPr>
          <w:sz w:val="24"/>
          <w:szCs w:val="24"/>
        </w:rPr>
      </w:pPr>
      <w:r w:rsidRPr="00CB2CB5">
        <w:rPr>
          <w:sz w:val="24"/>
          <w:szCs w:val="24"/>
        </w:rPr>
        <w:t>DH vil anbefale, at der i vejledningen gives en pædagogisk sa</w:t>
      </w:r>
      <w:r w:rsidR="002A1EA6">
        <w:rPr>
          <w:sz w:val="24"/>
          <w:szCs w:val="24"/>
        </w:rPr>
        <w:t>mmenligning mellem BR15 og BR18, så ændringerne tydeligt fremgår.</w:t>
      </w:r>
      <w:r w:rsidR="0045537F" w:rsidRPr="00CB2CB5">
        <w:rPr>
          <w:sz w:val="24"/>
          <w:szCs w:val="24"/>
        </w:rPr>
        <w:t xml:space="preserve"> </w:t>
      </w:r>
    </w:p>
    <w:p w14:paraId="23A863F0" w14:textId="77777777" w:rsidR="00CB2CB5" w:rsidRDefault="00CB2CB5" w:rsidP="00CB2CB5">
      <w:pPr>
        <w:pStyle w:val="Listeafsnit"/>
        <w:rPr>
          <w:sz w:val="24"/>
          <w:szCs w:val="24"/>
        </w:rPr>
      </w:pPr>
    </w:p>
    <w:p w14:paraId="32D4C452" w14:textId="1361A29F" w:rsidR="00D277CA" w:rsidRPr="00CB2CB5" w:rsidRDefault="00D277CA" w:rsidP="00CB2CB5">
      <w:pPr>
        <w:pStyle w:val="Listeafsnit"/>
        <w:numPr>
          <w:ilvl w:val="0"/>
          <w:numId w:val="6"/>
        </w:numPr>
        <w:rPr>
          <w:sz w:val="24"/>
          <w:szCs w:val="24"/>
        </w:rPr>
      </w:pPr>
      <w:r w:rsidRPr="00CB2CB5">
        <w:rPr>
          <w:b/>
          <w:sz w:val="24"/>
          <w:szCs w:val="24"/>
        </w:rPr>
        <w:t>Bemærkning vedrørende ’Forordet’</w:t>
      </w:r>
    </w:p>
    <w:p w14:paraId="663AE42E" w14:textId="77777777" w:rsidR="00D277CA" w:rsidRPr="0045537F" w:rsidRDefault="00D277CA" w:rsidP="00D277CA">
      <w:pPr>
        <w:ind w:left="720"/>
        <w:rPr>
          <w:sz w:val="24"/>
          <w:szCs w:val="24"/>
        </w:rPr>
      </w:pPr>
      <w:r w:rsidRPr="0045537F">
        <w:rPr>
          <w:sz w:val="24"/>
          <w:szCs w:val="24"/>
        </w:rPr>
        <w:t>I forordet 0 lægges der op til, at der under ”</w:t>
      </w:r>
      <w:r w:rsidRPr="0045537F">
        <w:rPr>
          <w:i/>
          <w:sz w:val="24"/>
          <w:szCs w:val="24"/>
        </w:rPr>
        <w:t>visse omstændigheder”</w:t>
      </w:r>
      <w:r w:rsidRPr="0045537F">
        <w:rPr>
          <w:sz w:val="24"/>
          <w:szCs w:val="24"/>
        </w:rPr>
        <w:t xml:space="preserve"> kan etableres en løfteplatform i stedet for en elevator (dog ikke i nybyggeri). </w:t>
      </w:r>
    </w:p>
    <w:p w14:paraId="4FC720E4" w14:textId="77777777" w:rsidR="00D277CA" w:rsidRPr="0045537F" w:rsidRDefault="00D277CA" w:rsidP="00D277CA">
      <w:pPr>
        <w:ind w:left="720"/>
        <w:rPr>
          <w:sz w:val="24"/>
          <w:szCs w:val="24"/>
        </w:rPr>
      </w:pPr>
      <w:r w:rsidRPr="0045537F">
        <w:rPr>
          <w:sz w:val="24"/>
          <w:szCs w:val="24"/>
        </w:rPr>
        <w:t xml:space="preserve">Dette anser DH for at være en alt for lempelig beskrivelse, da man med den beskrivelse åbner op for en diffus udlægning. </w:t>
      </w:r>
    </w:p>
    <w:p w14:paraId="548CA64D" w14:textId="428D9649" w:rsidR="00D277CA" w:rsidRPr="0045537F" w:rsidRDefault="00D277CA" w:rsidP="00D277CA">
      <w:pPr>
        <w:ind w:left="720"/>
        <w:rPr>
          <w:sz w:val="24"/>
          <w:szCs w:val="24"/>
        </w:rPr>
      </w:pPr>
      <w:r w:rsidRPr="0045537F">
        <w:rPr>
          <w:sz w:val="24"/>
          <w:szCs w:val="24"/>
        </w:rPr>
        <w:t xml:space="preserve">I BR 15 og tilhørende vejledninger og bekendtgørelser er </w:t>
      </w:r>
      <w:r w:rsidRPr="0045537F">
        <w:rPr>
          <w:i/>
          <w:sz w:val="24"/>
          <w:szCs w:val="24"/>
        </w:rPr>
        <w:t>”visse omstændigheder”</w:t>
      </w:r>
      <w:r w:rsidRPr="0045537F">
        <w:rPr>
          <w:sz w:val="24"/>
          <w:szCs w:val="24"/>
        </w:rPr>
        <w:t xml:space="preserve"> mere præcist beskrevet (indgreb i bærende konstruktioner etc.), og her fremgår det mere tydeligt, at Bygningsreglementet som udgangspunkt altid skal følges, også ved ombygninger. </w:t>
      </w:r>
    </w:p>
    <w:p w14:paraId="36D99743" w14:textId="77777777" w:rsidR="00D277CA" w:rsidRPr="0045537F" w:rsidRDefault="00D277CA" w:rsidP="00997ED0">
      <w:pPr>
        <w:rPr>
          <w:b/>
          <w:sz w:val="24"/>
          <w:szCs w:val="24"/>
        </w:rPr>
      </w:pPr>
    </w:p>
    <w:p w14:paraId="7C74B52A" w14:textId="3727836A" w:rsidR="00D277CA" w:rsidRPr="0045537F" w:rsidRDefault="00D277CA" w:rsidP="00D277CA">
      <w:pPr>
        <w:ind w:firstLine="1304"/>
        <w:rPr>
          <w:b/>
          <w:sz w:val="24"/>
          <w:szCs w:val="24"/>
        </w:rPr>
      </w:pPr>
      <w:r w:rsidRPr="0045537F">
        <w:rPr>
          <w:b/>
          <w:sz w:val="24"/>
          <w:szCs w:val="24"/>
        </w:rPr>
        <w:t xml:space="preserve">Anbefaling fra DH: </w:t>
      </w:r>
    </w:p>
    <w:p w14:paraId="15F0FC53" w14:textId="77777777" w:rsidR="00D277CA" w:rsidRPr="0045537F" w:rsidRDefault="00D277CA" w:rsidP="00D277CA">
      <w:pPr>
        <w:ind w:left="1304"/>
        <w:rPr>
          <w:sz w:val="24"/>
          <w:szCs w:val="24"/>
        </w:rPr>
      </w:pPr>
      <w:r w:rsidRPr="0045537F">
        <w:rPr>
          <w:sz w:val="24"/>
          <w:szCs w:val="24"/>
        </w:rPr>
        <w:t xml:space="preserve">At formuleringen omkring løfteplatform i stedet for elevator (dog ikke i nybyggeri) beskrives mere præcist i lighed med tidligere beskrivelser. </w:t>
      </w:r>
    </w:p>
    <w:p w14:paraId="4CCB3C4B" w14:textId="590CB506" w:rsidR="00D277CA" w:rsidRPr="0045537F" w:rsidRDefault="00D277CA" w:rsidP="00D277CA">
      <w:pPr>
        <w:ind w:left="1304"/>
        <w:rPr>
          <w:sz w:val="24"/>
          <w:szCs w:val="24"/>
        </w:rPr>
      </w:pPr>
      <w:r w:rsidRPr="0045537F">
        <w:rPr>
          <w:sz w:val="24"/>
          <w:szCs w:val="24"/>
        </w:rPr>
        <w:t>Målet med denne præcisering er at minimere usikkerhed om betingelserne i forhold til dette punkt, så der ikke skabes et unødigt fortolkningsrum.</w:t>
      </w:r>
    </w:p>
    <w:p w14:paraId="272E5E0B" w14:textId="77777777" w:rsidR="00D277CA" w:rsidRDefault="00D277CA" w:rsidP="00997ED0">
      <w:pPr>
        <w:rPr>
          <w:b/>
          <w:sz w:val="24"/>
          <w:szCs w:val="24"/>
        </w:rPr>
      </w:pPr>
    </w:p>
    <w:p w14:paraId="097A9CED" w14:textId="77777777" w:rsidR="003F244E" w:rsidRDefault="003F244E" w:rsidP="00997ED0">
      <w:pPr>
        <w:rPr>
          <w:b/>
          <w:sz w:val="24"/>
          <w:szCs w:val="24"/>
        </w:rPr>
      </w:pPr>
    </w:p>
    <w:p w14:paraId="3FE2F09C" w14:textId="77777777" w:rsidR="003F244E" w:rsidRDefault="003F244E" w:rsidP="00997ED0">
      <w:pPr>
        <w:rPr>
          <w:b/>
          <w:sz w:val="24"/>
          <w:szCs w:val="24"/>
        </w:rPr>
      </w:pPr>
    </w:p>
    <w:p w14:paraId="00357993" w14:textId="77777777" w:rsidR="003F244E" w:rsidRDefault="003F244E" w:rsidP="00997ED0">
      <w:pPr>
        <w:rPr>
          <w:b/>
          <w:sz w:val="24"/>
          <w:szCs w:val="24"/>
        </w:rPr>
      </w:pPr>
    </w:p>
    <w:p w14:paraId="1E85BB45" w14:textId="77777777" w:rsidR="003F244E" w:rsidRDefault="003F244E" w:rsidP="00997ED0">
      <w:pPr>
        <w:rPr>
          <w:b/>
          <w:sz w:val="24"/>
          <w:szCs w:val="24"/>
        </w:rPr>
      </w:pPr>
    </w:p>
    <w:p w14:paraId="0B6E08C2" w14:textId="77777777" w:rsidR="003F244E" w:rsidRDefault="003F244E" w:rsidP="00997ED0">
      <w:pPr>
        <w:rPr>
          <w:b/>
          <w:sz w:val="24"/>
          <w:szCs w:val="24"/>
        </w:rPr>
      </w:pPr>
    </w:p>
    <w:p w14:paraId="1752AF4E" w14:textId="77777777" w:rsidR="003F244E" w:rsidRDefault="003F244E" w:rsidP="00997ED0">
      <w:pPr>
        <w:rPr>
          <w:b/>
          <w:sz w:val="24"/>
          <w:szCs w:val="24"/>
        </w:rPr>
      </w:pPr>
    </w:p>
    <w:p w14:paraId="5A1BF8FC" w14:textId="77777777" w:rsidR="003F244E" w:rsidRDefault="003F244E" w:rsidP="00997ED0">
      <w:pPr>
        <w:rPr>
          <w:b/>
          <w:sz w:val="24"/>
          <w:szCs w:val="24"/>
        </w:rPr>
      </w:pPr>
    </w:p>
    <w:p w14:paraId="7E2BB77B" w14:textId="77777777" w:rsidR="003F244E" w:rsidRDefault="003F244E" w:rsidP="00997ED0">
      <w:pPr>
        <w:rPr>
          <w:b/>
          <w:sz w:val="24"/>
          <w:szCs w:val="24"/>
        </w:rPr>
      </w:pPr>
    </w:p>
    <w:p w14:paraId="6E2AE503" w14:textId="77777777" w:rsidR="003F244E" w:rsidRDefault="003F244E" w:rsidP="00997ED0">
      <w:pPr>
        <w:rPr>
          <w:b/>
          <w:sz w:val="24"/>
          <w:szCs w:val="24"/>
        </w:rPr>
      </w:pPr>
    </w:p>
    <w:p w14:paraId="7EA0A38A" w14:textId="77777777" w:rsidR="003F244E" w:rsidRPr="0045537F" w:rsidRDefault="003F244E" w:rsidP="00997ED0">
      <w:pPr>
        <w:rPr>
          <w:b/>
          <w:sz w:val="24"/>
          <w:szCs w:val="24"/>
        </w:rPr>
      </w:pPr>
    </w:p>
    <w:p w14:paraId="426A9BEC" w14:textId="77777777" w:rsidR="00885060" w:rsidRPr="00CB2CB5" w:rsidRDefault="00885060" w:rsidP="00CB2CB5">
      <w:pPr>
        <w:pStyle w:val="Listeafsnit"/>
        <w:numPr>
          <w:ilvl w:val="0"/>
          <w:numId w:val="6"/>
        </w:numPr>
        <w:rPr>
          <w:b/>
          <w:sz w:val="24"/>
          <w:szCs w:val="24"/>
        </w:rPr>
      </w:pPr>
      <w:r w:rsidRPr="00CB2CB5">
        <w:rPr>
          <w:b/>
          <w:sz w:val="24"/>
          <w:szCs w:val="24"/>
        </w:rPr>
        <w:lastRenderedPageBreak/>
        <w:t xml:space="preserve">Bemærkninger vedrørende punkt </w:t>
      </w:r>
      <w:r w:rsidR="00997ED0" w:rsidRPr="00CB2CB5">
        <w:rPr>
          <w:b/>
          <w:sz w:val="24"/>
          <w:szCs w:val="24"/>
        </w:rPr>
        <w:t>2.1 Nybyggeri</w:t>
      </w:r>
    </w:p>
    <w:p w14:paraId="20B1C112" w14:textId="77777777" w:rsidR="00885060" w:rsidRPr="0045537F" w:rsidRDefault="00885060" w:rsidP="00885060">
      <w:pPr>
        <w:pStyle w:val="Listeafsnit"/>
        <w:ind w:left="1440"/>
        <w:rPr>
          <w:b/>
          <w:sz w:val="24"/>
          <w:szCs w:val="24"/>
        </w:rPr>
      </w:pPr>
    </w:p>
    <w:p w14:paraId="01DA2408" w14:textId="5A4648DF" w:rsidR="00C933EE" w:rsidRPr="0045537F" w:rsidRDefault="00C933EE" w:rsidP="0045537F">
      <w:pPr>
        <w:ind w:firstLine="1304"/>
        <w:rPr>
          <w:b/>
          <w:sz w:val="24"/>
          <w:szCs w:val="24"/>
        </w:rPr>
      </w:pPr>
      <w:r w:rsidRPr="0045537F">
        <w:rPr>
          <w:b/>
          <w:sz w:val="24"/>
          <w:szCs w:val="24"/>
        </w:rPr>
        <w:t>Anbefaling fra DH:</w:t>
      </w:r>
    </w:p>
    <w:p w14:paraId="3180C6E6" w14:textId="7C2AF8E4" w:rsidR="00885060" w:rsidRPr="0045537F" w:rsidRDefault="00724886" w:rsidP="0045537F">
      <w:pPr>
        <w:ind w:left="1304"/>
        <w:rPr>
          <w:sz w:val="24"/>
          <w:szCs w:val="24"/>
        </w:rPr>
      </w:pPr>
      <w:r w:rsidRPr="0045537F">
        <w:rPr>
          <w:sz w:val="24"/>
          <w:szCs w:val="24"/>
        </w:rPr>
        <w:t xml:space="preserve">Når der er </w:t>
      </w:r>
      <w:r w:rsidR="00997ED0" w:rsidRPr="0045537F">
        <w:rPr>
          <w:sz w:val="24"/>
          <w:szCs w:val="24"/>
        </w:rPr>
        <w:t xml:space="preserve">kælder i bygninger, som er omfattet af elevator krav, </w:t>
      </w:r>
      <w:r w:rsidRPr="0045537F">
        <w:rPr>
          <w:sz w:val="24"/>
          <w:szCs w:val="24"/>
        </w:rPr>
        <w:t>bør det præciseres</w:t>
      </w:r>
      <w:r w:rsidR="00E96393">
        <w:rPr>
          <w:sz w:val="24"/>
          <w:szCs w:val="24"/>
        </w:rPr>
        <w:t xml:space="preserve"> yderligere</w:t>
      </w:r>
      <w:r w:rsidRPr="0045537F">
        <w:rPr>
          <w:sz w:val="24"/>
          <w:szCs w:val="24"/>
        </w:rPr>
        <w:t xml:space="preserve">, at </w:t>
      </w:r>
      <w:r w:rsidR="00997ED0" w:rsidRPr="0045537F">
        <w:rPr>
          <w:sz w:val="24"/>
          <w:szCs w:val="24"/>
        </w:rPr>
        <w:t>denne og</w:t>
      </w:r>
      <w:r w:rsidR="00C933EE" w:rsidRPr="0045537F">
        <w:rPr>
          <w:sz w:val="24"/>
          <w:szCs w:val="24"/>
        </w:rPr>
        <w:t xml:space="preserve">så </w:t>
      </w:r>
      <w:r w:rsidRPr="0045537F">
        <w:rPr>
          <w:sz w:val="24"/>
          <w:szCs w:val="24"/>
        </w:rPr>
        <w:t xml:space="preserve">skal </w:t>
      </w:r>
      <w:r w:rsidR="00C933EE" w:rsidRPr="0045537F">
        <w:rPr>
          <w:sz w:val="24"/>
          <w:szCs w:val="24"/>
        </w:rPr>
        <w:t xml:space="preserve">elevatorbetjenes, </w:t>
      </w:r>
      <w:r w:rsidR="00E96393">
        <w:rPr>
          <w:sz w:val="24"/>
          <w:szCs w:val="24"/>
        </w:rPr>
        <w:t xml:space="preserve">gerne med illustrationer i tråd med </w:t>
      </w:r>
      <w:r w:rsidR="00C933EE" w:rsidRPr="0045537F">
        <w:rPr>
          <w:sz w:val="24"/>
          <w:szCs w:val="24"/>
        </w:rPr>
        <w:t>tjeklisten for elevatorer fra SBi</w:t>
      </w:r>
      <w:r w:rsidR="00C933EE" w:rsidRPr="0045537F">
        <w:rPr>
          <w:rStyle w:val="Fodnotehenvisning"/>
          <w:sz w:val="24"/>
          <w:szCs w:val="24"/>
        </w:rPr>
        <w:footnoteReference w:id="1"/>
      </w:r>
      <w:r w:rsidRPr="0045537F">
        <w:rPr>
          <w:sz w:val="24"/>
          <w:szCs w:val="24"/>
        </w:rPr>
        <w:t>.</w:t>
      </w:r>
    </w:p>
    <w:p w14:paraId="55D40816" w14:textId="65B5D900" w:rsidR="00885060" w:rsidRPr="0045537F" w:rsidRDefault="00671838" w:rsidP="00885060">
      <w:pPr>
        <w:pStyle w:val="Listeafsnit"/>
        <w:rPr>
          <w:b/>
          <w:sz w:val="24"/>
          <w:szCs w:val="24"/>
        </w:rPr>
      </w:pPr>
      <w:r w:rsidRPr="0045537F">
        <w:rPr>
          <w:b/>
          <w:noProof/>
          <w:sz w:val="24"/>
          <w:szCs w:val="24"/>
        </w:rPr>
        <w:drawing>
          <wp:anchor distT="0" distB="0" distL="114300" distR="114300" simplePos="0" relativeHeight="251658240" behindDoc="1" locked="0" layoutInCell="1" allowOverlap="1" wp14:anchorId="19B887AE" wp14:editId="5C6BCFDE">
            <wp:simplePos x="0" y="0"/>
            <wp:positionH relativeFrom="column">
              <wp:posOffset>1790700</wp:posOffset>
            </wp:positionH>
            <wp:positionV relativeFrom="paragraph">
              <wp:posOffset>20955</wp:posOffset>
            </wp:positionV>
            <wp:extent cx="3429635" cy="1724025"/>
            <wp:effectExtent l="0" t="0" r="0" b="9525"/>
            <wp:wrapTight wrapText="bothSides">
              <wp:wrapPolygon edited="0">
                <wp:start x="0" y="0"/>
                <wp:lineTo x="0" y="21481"/>
                <wp:lineTo x="21476" y="21481"/>
                <wp:lineTo x="21476"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vatorer og etager 3 aug 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9635" cy="1724025"/>
                    </a:xfrm>
                    <a:prstGeom prst="rect">
                      <a:avLst/>
                    </a:prstGeom>
                  </pic:spPr>
                </pic:pic>
              </a:graphicData>
            </a:graphic>
            <wp14:sizeRelH relativeFrom="page">
              <wp14:pctWidth>0</wp14:pctWidth>
            </wp14:sizeRelH>
            <wp14:sizeRelV relativeFrom="page">
              <wp14:pctHeight>0</wp14:pctHeight>
            </wp14:sizeRelV>
          </wp:anchor>
        </w:drawing>
      </w:r>
    </w:p>
    <w:p w14:paraId="34DDE581" w14:textId="468EB1F1" w:rsidR="00E96393" w:rsidRDefault="00706C79" w:rsidP="00E96393">
      <w:pPr>
        <w:pStyle w:val="Listeafsnit"/>
        <w:rPr>
          <w:b/>
          <w:sz w:val="24"/>
          <w:szCs w:val="24"/>
        </w:rPr>
      </w:pPr>
      <w:r>
        <w:rPr>
          <w:noProof/>
        </w:rPr>
        <mc:AlternateContent>
          <mc:Choice Requires="wps">
            <w:drawing>
              <wp:anchor distT="0" distB="0" distL="114300" distR="114300" simplePos="0" relativeHeight="251660288" behindDoc="0" locked="0" layoutInCell="1" allowOverlap="1" wp14:anchorId="705414B6" wp14:editId="267B4557">
                <wp:simplePos x="0" y="0"/>
                <wp:positionH relativeFrom="column">
                  <wp:posOffset>-36195</wp:posOffset>
                </wp:positionH>
                <wp:positionV relativeFrom="paragraph">
                  <wp:posOffset>715010</wp:posOffset>
                </wp:positionV>
                <wp:extent cx="1828800" cy="854710"/>
                <wp:effectExtent l="0" t="0" r="0" b="2540"/>
                <wp:wrapTight wrapText="bothSides">
                  <wp:wrapPolygon edited="0">
                    <wp:start x="0" y="0"/>
                    <wp:lineTo x="0" y="21183"/>
                    <wp:lineTo x="21375" y="21183"/>
                    <wp:lineTo x="21375" y="0"/>
                    <wp:lineTo x="0" y="0"/>
                  </wp:wrapPolygon>
                </wp:wrapTight>
                <wp:docPr id="3" name="Tekstboks 3"/>
                <wp:cNvGraphicFramePr/>
                <a:graphic xmlns:a="http://schemas.openxmlformats.org/drawingml/2006/main">
                  <a:graphicData uri="http://schemas.microsoft.com/office/word/2010/wordprocessingShape">
                    <wps:wsp>
                      <wps:cNvSpPr txBox="1"/>
                      <wps:spPr>
                        <a:xfrm>
                          <a:off x="0" y="0"/>
                          <a:ext cx="1828800" cy="854710"/>
                        </a:xfrm>
                        <a:prstGeom prst="rect">
                          <a:avLst/>
                        </a:prstGeom>
                        <a:solidFill>
                          <a:prstClr val="white"/>
                        </a:solidFill>
                        <a:ln>
                          <a:noFill/>
                        </a:ln>
                        <a:effectLst/>
                      </wps:spPr>
                      <wps:txbx>
                        <w:txbxContent>
                          <w:p w14:paraId="531FB8D5" w14:textId="241815B9" w:rsidR="00706C79" w:rsidRPr="00956A5B" w:rsidRDefault="00706C79" w:rsidP="00706C79">
                            <w:pPr>
                              <w:pStyle w:val="Billedtekst"/>
                              <w:rPr>
                                <w:noProof/>
                                <w:sz w:val="24"/>
                                <w:szCs w:val="24"/>
                              </w:rPr>
                            </w:pPr>
                            <w:r>
                              <w:t xml:space="preserve">Figur </w:t>
                            </w:r>
                            <w:r w:rsidR="00585388">
                              <w:fldChar w:fldCharType="begin"/>
                            </w:r>
                            <w:r w:rsidR="00585388">
                              <w:instrText xml:space="preserve"> SEQ Figur \* ARABIC </w:instrText>
                            </w:r>
                            <w:r w:rsidR="00585388">
                              <w:fldChar w:fldCharType="separate"/>
                            </w:r>
                            <w:r>
                              <w:rPr>
                                <w:noProof/>
                              </w:rPr>
                              <w:t>1</w:t>
                            </w:r>
                            <w:r w:rsidR="00585388">
                              <w:rPr>
                                <w:noProof/>
                              </w:rPr>
                              <w:fldChar w:fldCharType="end"/>
                            </w:r>
                            <w:r>
                              <w:t xml:space="preserve">: Illustration fra </w:t>
                            </w:r>
                            <w:proofErr w:type="spellStart"/>
                            <w:r>
                              <w:t>SBi's</w:t>
                            </w:r>
                            <w:proofErr w:type="spellEnd"/>
                            <w:r>
                              <w:t xml:space="preserve"> tjekliste over krav til elevatorer ved forskellige etagehøjder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left:0;text-align:left;margin-left:-2.85pt;margin-top:56.3pt;width:2in;height:6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" stroked="f">
                <v:textbox inset="0,0,0,0">
                  <w:txbxContent>
                    <w:p w14:paraId="531FB8D5" w14:textId="241815B9" w:rsidR="00706C79" w:rsidRPr="00956A5B" w:rsidRDefault="00706C79" w:rsidP="00706C79">
                      <w:pPr>
                        <w:pStyle w:val="Billedtekst"/>
                        <w:rPr>
                          <w:noProof/>
                          <w:sz w:val="24"/>
                          <w:szCs w:val="24"/>
                        </w:rPr>
                      </w:pPr>
                      <w:r>
                        <w:t xml:space="preserve">Figur </w:t>
                      </w:r>
                      <w:r w:rsidR="00585388">
                        <w:fldChar w:fldCharType="begin"/>
                      </w:r>
                      <w:r w:rsidR="00585388">
                        <w:instrText xml:space="preserve"> SEQ Figur \* ARABIC </w:instrText>
                      </w:r>
                      <w:r w:rsidR="00585388">
                        <w:fldChar w:fldCharType="separate"/>
                      </w:r>
                      <w:r>
                        <w:rPr>
                          <w:noProof/>
                        </w:rPr>
                        <w:t>1</w:t>
                      </w:r>
                      <w:r w:rsidR="00585388">
                        <w:rPr>
                          <w:noProof/>
                        </w:rPr>
                        <w:fldChar w:fldCharType="end"/>
                      </w:r>
                      <w:r>
                        <w:t xml:space="preserve">: Illustration fra </w:t>
                      </w:r>
                      <w:proofErr w:type="spellStart"/>
                      <w:r>
                        <w:t>SBi's</w:t>
                      </w:r>
                      <w:proofErr w:type="spellEnd"/>
                      <w:r>
                        <w:t xml:space="preserve"> tjekliste over krav til elevatorer ved forskellige etagehøjder</w:t>
                      </w:r>
                    </w:p>
                  </w:txbxContent>
                </v:textbox>
                <w10:wrap type="tight"/>
              </v:shape>
            </w:pict>
          </mc:Fallback>
        </mc:AlternateContent>
      </w:r>
      <w:r w:rsidR="00E96393">
        <w:rPr>
          <w:b/>
          <w:sz w:val="24"/>
          <w:szCs w:val="24"/>
        </w:rPr>
        <w:br/>
      </w:r>
      <w:r w:rsidR="00E96393">
        <w:rPr>
          <w:b/>
          <w:sz w:val="24"/>
          <w:szCs w:val="24"/>
        </w:rPr>
        <w:br/>
      </w:r>
      <w:r w:rsidR="00E96393">
        <w:rPr>
          <w:b/>
          <w:sz w:val="24"/>
          <w:szCs w:val="24"/>
        </w:rPr>
        <w:br/>
      </w:r>
      <w:r w:rsidR="00E96393">
        <w:rPr>
          <w:b/>
          <w:sz w:val="24"/>
          <w:szCs w:val="24"/>
        </w:rPr>
        <w:br/>
      </w:r>
      <w:r w:rsidR="00E96393">
        <w:rPr>
          <w:b/>
          <w:sz w:val="24"/>
          <w:szCs w:val="24"/>
        </w:rPr>
        <w:br/>
      </w:r>
      <w:r w:rsidR="00E96393">
        <w:rPr>
          <w:b/>
          <w:sz w:val="24"/>
          <w:szCs w:val="24"/>
        </w:rPr>
        <w:br/>
      </w:r>
      <w:r w:rsidR="00E96393">
        <w:rPr>
          <w:b/>
          <w:sz w:val="24"/>
          <w:szCs w:val="24"/>
        </w:rPr>
        <w:br/>
      </w:r>
      <w:r w:rsidR="00E96393">
        <w:rPr>
          <w:b/>
          <w:sz w:val="24"/>
          <w:szCs w:val="24"/>
        </w:rPr>
        <w:br/>
      </w:r>
      <w:r w:rsidR="00E96393">
        <w:rPr>
          <w:b/>
          <w:sz w:val="24"/>
          <w:szCs w:val="24"/>
        </w:rPr>
        <w:br/>
      </w:r>
      <w:r w:rsidR="00E96393">
        <w:rPr>
          <w:b/>
          <w:sz w:val="24"/>
          <w:szCs w:val="24"/>
        </w:rPr>
        <w:br/>
      </w:r>
      <w:r w:rsidR="00E96393">
        <w:rPr>
          <w:b/>
          <w:sz w:val="24"/>
          <w:szCs w:val="24"/>
        </w:rPr>
        <w:br/>
      </w:r>
    </w:p>
    <w:p w14:paraId="1BFA2BD1" w14:textId="77777777" w:rsidR="00885060" w:rsidRPr="00CB2CB5" w:rsidRDefault="00885060" w:rsidP="00CB2CB5">
      <w:pPr>
        <w:pStyle w:val="Listeafsnit"/>
        <w:numPr>
          <w:ilvl w:val="0"/>
          <w:numId w:val="6"/>
        </w:numPr>
        <w:rPr>
          <w:b/>
          <w:sz w:val="24"/>
          <w:szCs w:val="24"/>
        </w:rPr>
      </w:pPr>
      <w:r w:rsidRPr="00CB2CB5">
        <w:rPr>
          <w:b/>
          <w:sz w:val="24"/>
          <w:szCs w:val="24"/>
        </w:rPr>
        <w:t>Bemærkning vedrørende punkt 2.2. Tilbygning og ombygning</w:t>
      </w:r>
    </w:p>
    <w:p w14:paraId="3C652E7F" w14:textId="77777777" w:rsidR="00885060" w:rsidRPr="0045537F" w:rsidRDefault="00885060" w:rsidP="00885060">
      <w:pPr>
        <w:pStyle w:val="Listeafsnit"/>
        <w:ind w:left="1440"/>
        <w:rPr>
          <w:b/>
          <w:sz w:val="24"/>
          <w:szCs w:val="24"/>
        </w:rPr>
      </w:pPr>
    </w:p>
    <w:p w14:paraId="1ED50E99" w14:textId="643A09B5" w:rsidR="003E7EF6" w:rsidRPr="0045537F" w:rsidRDefault="003E7EF6" w:rsidP="00885060">
      <w:pPr>
        <w:pStyle w:val="Listeafsnit"/>
        <w:numPr>
          <w:ilvl w:val="1"/>
          <w:numId w:val="4"/>
        </w:numPr>
        <w:rPr>
          <w:b/>
          <w:sz w:val="24"/>
          <w:szCs w:val="24"/>
        </w:rPr>
      </w:pPr>
      <w:r w:rsidRPr="0045537F">
        <w:rPr>
          <w:sz w:val="24"/>
          <w:szCs w:val="24"/>
        </w:rPr>
        <w:t xml:space="preserve">DH anbefaler, at der tilføjes illustrationer til dette afsnit i lighed med </w:t>
      </w:r>
      <w:proofErr w:type="spellStart"/>
      <w:r w:rsidRPr="0045537F">
        <w:rPr>
          <w:sz w:val="24"/>
          <w:szCs w:val="24"/>
        </w:rPr>
        <w:t>SBi’s</w:t>
      </w:r>
      <w:proofErr w:type="spellEnd"/>
      <w:r w:rsidRPr="0045537F">
        <w:rPr>
          <w:sz w:val="24"/>
          <w:szCs w:val="24"/>
        </w:rPr>
        <w:t xml:space="preserve"> tjekliste for elevatorer, så der ikke er tvivl om de krav, der gælder ved tilbygning og omby</w:t>
      </w:r>
      <w:r w:rsidR="00C4666B" w:rsidRPr="0045537F">
        <w:rPr>
          <w:sz w:val="24"/>
          <w:szCs w:val="24"/>
        </w:rPr>
        <w:t>gning. Alternativt bør afsnittet</w:t>
      </w:r>
      <w:r w:rsidRPr="0045537F">
        <w:rPr>
          <w:sz w:val="24"/>
          <w:szCs w:val="24"/>
        </w:rPr>
        <w:t xml:space="preserve"> beskrives mere uddybende med eksempler, da afsnittet er vanskelig tilgængelig læsning.</w:t>
      </w:r>
    </w:p>
    <w:p w14:paraId="3437C7F0" w14:textId="04544EE5" w:rsidR="00997ED0" w:rsidRPr="0045537F" w:rsidRDefault="003E7EF6" w:rsidP="003E7EF6">
      <w:pPr>
        <w:pStyle w:val="Listeafsnit"/>
        <w:ind w:left="1440"/>
        <w:rPr>
          <w:b/>
          <w:sz w:val="24"/>
          <w:szCs w:val="24"/>
        </w:rPr>
      </w:pPr>
      <w:r w:rsidRPr="0045537F">
        <w:rPr>
          <w:sz w:val="24"/>
          <w:szCs w:val="24"/>
        </w:rPr>
        <w:t xml:space="preserve">Det kan også tydeliggøres, at </w:t>
      </w:r>
      <w:r w:rsidR="00997ED0" w:rsidRPr="0045537F">
        <w:rPr>
          <w:sz w:val="24"/>
          <w:szCs w:val="24"/>
        </w:rPr>
        <w:t xml:space="preserve">en etageudvidelse </w:t>
      </w:r>
      <w:r w:rsidR="00C4666B" w:rsidRPr="0045537F">
        <w:rPr>
          <w:sz w:val="24"/>
          <w:szCs w:val="24"/>
        </w:rPr>
        <w:t xml:space="preserve">- </w:t>
      </w:r>
      <w:r w:rsidR="00997ED0" w:rsidRPr="0045537F">
        <w:rPr>
          <w:sz w:val="24"/>
          <w:szCs w:val="24"/>
        </w:rPr>
        <w:t xml:space="preserve">således der bliver </w:t>
      </w:r>
      <w:r w:rsidR="00C4666B" w:rsidRPr="0045537F">
        <w:rPr>
          <w:sz w:val="24"/>
          <w:szCs w:val="24"/>
        </w:rPr>
        <w:t xml:space="preserve">tre etager eller mere i boligbebyggelse </w:t>
      </w:r>
      <w:r w:rsidR="00E96393">
        <w:rPr>
          <w:sz w:val="24"/>
          <w:szCs w:val="24"/>
        </w:rPr>
        <w:t>–</w:t>
      </w:r>
      <w:r w:rsidR="00997ED0" w:rsidRPr="0045537F">
        <w:rPr>
          <w:sz w:val="24"/>
          <w:szCs w:val="24"/>
        </w:rPr>
        <w:t xml:space="preserve"> </w:t>
      </w:r>
      <w:r w:rsidR="00E96393">
        <w:rPr>
          <w:sz w:val="24"/>
          <w:szCs w:val="24"/>
        </w:rPr>
        <w:t xml:space="preserve">er </w:t>
      </w:r>
      <w:r w:rsidR="00997ED0" w:rsidRPr="0045537F">
        <w:rPr>
          <w:sz w:val="24"/>
          <w:szCs w:val="24"/>
        </w:rPr>
        <w:t xml:space="preserve">omfattet af elevatorkrav. </w:t>
      </w:r>
      <w:r w:rsidR="00C4666B" w:rsidRPr="0045537F">
        <w:rPr>
          <w:sz w:val="24"/>
          <w:szCs w:val="24"/>
        </w:rPr>
        <w:t>Den nuværende tekst kan misforstås</w:t>
      </w:r>
      <w:r w:rsidR="00997ED0" w:rsidRPr="0045537F">
        <w:rPr>
          <w:sz w:val="24"/>
          <w:szCs w:val="24"/>
        </w:rPr>
        <w:t xml:space="preserve"> </w:t>
      </w:r>
      <w:r w:rsidR="00C4666B" w:rsidRPr="0045537F">
        <w:rPr>
          <w:sz w:val="24"/>
          <w:szCs w:val="24"/>
        </w:rPr>
        <w:t>som en generel fritagelse af</w:t>
      </w:r>
      <w:r w:rsidR="00997ED0" w:rsidRPr="0045537F">
        <w:rPr>
          <w:sz w:val="24"/>
          <w:szCs w:val="24"/>
        </w:rPr>
        <w:t xml:space="preserve"> </w:t>
      </w:r>
      <w:r w:rsidR="00C4666B" w:rsidRPr="0045537F">
        <w:rPr>
          <w:sz w:val="24"/>
          <w:szCs w:val="24"/>
        </w:rPr>
        <w:t>elevator</w:t>
      </w:r>
      <w:r w:rsidR="00997ED0" w:rsidRPr="0045537F">
        <w:rPr>
          <w:sz w:val="24"/>
          <w:szCs w:val="24"/>
        </w:rPr>
        <w:t>krav ved ombygninger</w:t>
      </w:r>
      <w:r w:rsidR="00C4666B" w:rsidRPr="0045537F">
        <w:rPr>
          <w:sz w:val="24"/>
          <w:szCs w:val="24"/>
        </w:rPr>
        <w:t xml:space="preserve"> af etageboligbebyggelser</w:t>
      </w:r>
      <w:r w:rsidR="00997ED0" w:rsidRPr="0045537F">
        <w:rPr>
          <w:sz w:val="24"/>
          <w:szCs w:val="24"/>
        </w:rPr>
        <w:t>. </w:t>
      </w:r>
    </w:p>
    <w:p w14:paraId="5BC928E8" w14:textId="77777777" w:rsidR="00885060" w:rsidRPr="0045537F" w:rsidRDefault="00885060" w:rsidP="00885060">
      <w:pPr>
        <w:ind w:left="1440"/>
        <w:rPr>
          <w:sz w:val="24"/>
          <w:szCs w:val="24"/>
        </w:rPr>
      </w:pPr>
    </w:p>
    <w:p w14:paraId="39D4CD8C" w14:textId="4229A909" w:rsidR="00885060" w:rsidRPr="0045537F" w:rsidRDefault="00C4666B" w:rsidP="00885060">
      <w:pPr>
        <w:numPr>
          <w:ilvl w:val="1"/>
          <w:numId w:val="4"/>
        </w:numPr>
        <w:rPr>
          <w:sz w:val="24"/>
          <w:szCs w:val="24"/>
        </w:rPr>
      </w:pPr>
      <w:r w:rsidRPr="0045537F">
        <w:rPr>
          <w:sz w:val="24"/>
          <w:szCs w:val="24"/>
        </w:rPr>
        <w:t xml:space="preserve">DH vil opfordre til at præcisere sætningen </w:t>
      </w:r>
      <w:r w:rsidRPr="0045537F">
        <w:rPr>
          <w:i/>
          <w:sz w:val="24"/>
          <w:szCs w:val="24"/>
        </w:rPr>
        <w:t>”For boliger gælder kravet dog ikke, såfremt tilbygningen er en udvidelse af eksisterende boliger.”</w:t>
      </w:r>
      <w:r w:rsidRPr="0045537F">
        <w:rPr>
          <w:sz w:val="24"/>
          <w:szCs w:val="24"/>
        </w:rPr>
        <w:t xml:space="preserve"> Et eksempel kunne være, hvis der bygges </w:t>
      </w:r>
      <w:r w:rsidR="00885060" w:rsidRPr="0045537F">
        <w:rPr>
          <w:sz w:val="24"/>
          <w:szCs w:val="24"/>
        </w:rPr>
        <w:t xml:space="preserve">en tagetage, som hænger sammen med </w:t>
      </w:r>
      <w:r w:rsidRPr="0045537F">
        <w:rPr>
          <w:sz w:val="24"/>
          <w:szCs w:val="24"/>
        </w:rPr>
        <w:t xml:space="preserve">den </w:t>
      </w:r>
      <w:r w:rsidR="00885060" w:rsidRPr="0045537F">
        <w:rPr>
          <w:sz w:val="24"/>
          <w:szCs w:val="24"/>
        </w:rPr>
        <w:t>underliggende bolig</w:t>
      </w:r>
      <w:r w:rsidRPr="0045537F">
        <w:rPr>
          <w:sz w:val="24"/>
          <w:szCs w:val="24"/>
        </w:rPr>
        <w:t>, dvs. den samme ’enhed’.</w:t>
      </w:r>
      <w:r w:rsidR="00885060" w:rsidRPr="0045537F">
        <w:rPr>
          <w:sz w:val="24"/>
          <w:szCs w:val="24"/>
        </w:rPr>
        <w:t xml:space="preserve"> </w:t>
      </w:r>
    </w:p>
    <w:p w14:paraId="1FC092A2" w14:textId="77777777" w:rsidR="00C4666B" w:rsidRPr="0045537F" w:rsidRDefault="00C4666B" w:rsidP="00C4666B">
      <w:pPr>
        <w:ind w:left="1440"/>
        <w:rPr>
          <w:sz w:val="24"/>
          <w:szCs w:val="24"/>
        </w:rPr>
      </w:pPr>
    </w:p>
    <w:p w14:paraId="411A1660" w14:textId="0BB6A6D1" w:rsidR="0045537F" w:rsidRPr="0045537F" w:rsidRDefault="0045537F" w:rsidP="00885060">
      <w:pPr>
        <w:numPr>
          <w:ilvl w:val="1"/>
          <w:numId w:val="4"/>
        </w:numPr>
        <w:rPr>
          <w:sz w:val="24"/>
          <w:szCs w:val="24"/>
        </w:rPr>
      </w:pPr>
      <w:r w:rsidRPr="0045537F">
        <w:rPr>
          <w:sz w:val="24"/>
          <w:szCs w:val="24"/>
        </w:rPr>
        <w:t xml:space="preserve">DH vil opfordre til at præcisere følgende afsnit: </w:t>
      </w:r>
      <w:r w:rsidRPr="0045537F">
        <w:rPr>
          <w:i/>
          <w:sz w:val="24"/>
          <w:szCs w:val="24"/>
        </w:rPr>
        <w:t>”</w:t>
      </w:r>
      <w:r w:rsidRPr="0045537F">
        <w:rPr>
          <w:i/>
          <w:iCs/>
          <w:sz w:val="24"/>
          <w:szCs w:val="24"/>
        </w:rPr>
        <w:t>Kravet om elevatorer gælder ikke for ombygninger og mindre tilbygninger til eksisterende boligbebyggelse er heller ikke omfattet af krav om etablering af elevator. Dette omfatter inddragelse af eksisterende tagetage til bolig. Mindre ombygninger, der er omfattet af bestemmelsen er etablering af tårne til wc- rum og baderum, køkkener og tilsvarende.”</w:t>
      </w:r>
      <w:r w:rsidRPr="0045537F">
        <w:rPr>
          <w:sz w:val="24"/>
          <w:szCs w:val="24"/>
        </w:rPr>
        <w:t xml:space="preserve"> </w:t>
      </w:r>
    </w:p>
    <w:p w14:paraId="61EF3679" w14:textId="59F7838B" w:rsidR="00885060" w:rsidRPr="0045537F" w:rsidRDefault="0045537F" w:rsidP="0045537F">
      <w:pPr>
        <w:ind w:left="1440"/>
        <w:rPr>
          <w:sz w:val="24"/>
          <w:szCs w:val="24"/>
        </w:rPr>
      </w:pPr>
      <w:r w:rsidRPr="0045537F">
        <w:rPr>
          <w:sz w:val="24"/>
          <w:szCs w:val="24"/>
        </w:rPr>
        <w:t>Afsnittet har ikke en konsistent udlægning og definition af ’ombygninger og mindre tilbygninger’. Der gives eksempler på ’mindre ombygninger’, men ikke af ’ombygninger’ og ’mindre tilbygninger’.</w:t>
      </w:r>
    </w:p>
    <w:p w14:paraId="12AB78D4" w14:textId="77777777" w:rsidR="00273F03" w:rsidRPr="0045537F" w:rsidRDefault="00273F03" w:rsidP="00273F03">
      <w:pPr>
        <w:ind w:left="1440"/>
        <w:rPr>
          <w:sz w:val="24"/>
          <w:szCs w:val="24"/>
        </w:rPr>
      </w:pPr>
    </w:p>
    <w:p w14:paraId="561684DC" w14:textId="6E2D4BB6" w:rsidR="003B4050" w:rsidRDefault="00273F03" w:rsidP="003B4050">
      <w:pPr>
        <w:pStyle w:val="Listeafsnit"/>
        <w:numPr>
          <w:ilvl w:val="0"/>
          <w:numId w:val="6"/>
        </w:numPr>
        <w:rPr>
          <w:b/>
          <w:sz w:val="24"/>
          <w:szCs w:val="24"/>
        </w:rPr>
      </w:pPr>
      <w:r w:rsidRPr="00CB2CB5">
        <w:rPr>
          <w:b/>
          <w:sz w:val="24"/>
          <w:szCs w:val="24"/>
        </w:rPr>
        <w:t>Bemærkninger ti</w:t>
      </w:r>
      <w:r w:rsidR="004B7581">
        <w:rPr>
          <w:b/>
          <w:sz w:val="24"/>
          <w:szCs w:val="24"/>
        </w:rPr>
        <w:t>l punkt 3 Tilgængelighed</w:t>
      </w:r>
    </w:p>
    <w:p w14:paraId="7EBC700E" w14:textId="77777777" w:rsidR="003B4050" w:rsidRDefault="003B4050" w:rsidP="003B4050">
      <w:pPr>
        <w:pStyle w:val="Listeafsnit"/>
        <w:ind w:left="1440"/>
        <w:rPr>
          <w:b/>
          <w:sz w:val="24"/>
          <w:szCs w:val="24"/>
        </w:rPr>
      </w:pPr>
    </w:p>
    <w:p w14:paraId="0E558B1E" w14:textId="6AEA16D5" w:rsidR="003B4050" w:rsidRPr="003B4050" w:rsidRDefault="003F244E" w:rsidP="003B4050">
      <w:pPr>
        <w:pStyle w:val="Listeafsnit"/>
        <w:numPr>
          <w:ilvl w:val="1"/>
          <w:numId w:val="6"/>
        </w:numPr>
        <w:rPr>
          <w:b/>
          <w:sz w:val="24"/>
          <w:szCs w:val="24"/>
        </w:rPr>
      </w:pPr>
      <w:r w:rsidRPr="003B4050">
        <w:rPr>
          <w:sz w:val="24"/>
          <w:szCs w:val="24"/>
        </w:rPr>
        <w:t xml:space="preserve">I dette afsnit opremses flere muligheder som kan medføre, at en elevator skal være større. </w:t>
      </w:r>
      <w:r w:rsidRPr="008F470E">
        <w:rPr>
          <w:sz w:val="24"/>
          <w:szCs w:val="24"/>
        </w:rPr>
        <w:t>Da en elevators længdemål på 140 cm er for kort til at kunne medtage alle kørestolsbrug</w:t>
      </w:r>
      <w:r>
        <w:rPr>
          <w:sz w:val="24"/>
          <w:szCs w:val="24"/>
        </w:rPr>
        <w:t>ere, herunder el-scooterbrugere</w:t>
      </w:r>
      <w:r w:rsidRPr="008F470E">
        <w:rPr>
          <w:sz w:val="24"/>
          <w:szCs w:val="24"/>
        </w:rPr>
        <w:t xml:space="preserve"> m.fl.</w:t>
      </w:r>
      <w:r>
        <w:rPr>
          <w:sz w:val="24"/>
          <w:szCs w:val="24"/>
        </w:rPr>
        <w:t>,</w:t>
      </w:r>
      <w:r w:rsidRPr="008F470E">
        <w:rPr>
          <w:sz w:val="24"/>
          <w:szCs w:val="24"/>
        </w:rPr>
        <w:t xml:space="preserve"> anbefales det, at der i forbindelse med offentligt tilgængelige bygninger stilles krav til elevatorer med en elevatordybde på min. 170 cm</w:t>
      </w:r>
      <w:r>
        <w:rPr>
          <w:sz w:val="24"/>
          <w:szCs w:val="24"/>
        </w:rPr>
        <w:t>. DH anbefaler derudover, at d</w:t>
      </w:r>
      <w:r w:rsidRPr="003B4050">
        <w:rPr>
          <w:sz w:val="24"/>
          <w:szCs w:val="24"/>
        </w:rPr>
        <w:t xml:space="preserve">et bør nævnes som </w:t>
      </w:r>
      <w:r w:rsidRPr="003B4050">
        <w:rPr>
          <w:sz w:val="24"/>
          <w:szCs w:val="24"/>
        </w:rPr>
        <w:lastRenderedPageBreak/>
        <w:t>eksempel, at i elevatorer, hvor man skal dreje 90 grader inde i elevatorstolen, bør elevatorstolen være større. SBi anbefaler 1,8 x 1,8.</w:t>
      </w:r>
    </w:p>
    <w:p w14:paraId="1ADA69B2" w14:textId="77777777" w:rsidR="003B4050" w:rsidRPr="003B4050" w:rsidRDefault="003B4050" w:rsidP="003B4050">
      <w:pPr>
        <w:pStyle w:val="Listeafsnit"/>
        <w:ind w:left="1440"/>
        <w:rPr>
          <w:b/>
          <w:sz w:val="24"/>
          <w:szCs w:val="24"/>
        </w:rPr>
      </w:pPr>
    </w:p>
    <w:p w14:paraId="1008EEF8" w14:textId="1E783400" w:rsidR="003B4050" w:rsidRPr="00C0452E" w:rsidRDefault="00216243" w:rsidP="00216243">
      <w:pPr>
        <w:pStyle w:val="Listeafsnit"/>
        <w:numPr>
          <w:ilvl w:val="1"/>
          <w:numId w:val="6"/>
        </w:numPr>
        <w:rPr>
          <w:b/>
          <w:sz w:val="24"/>
          <w:szCs w:val="24"/>
        </w:rPr>
      </w:pPr>
      <w:r w:rsidRPr="00216243">
        <w:rPr>
          <w:sz w:val="24"/>
          <w:szCs w:val="24"/>
        </w:rPr>
        <w:t>I kap</w:t>
      </w:r>
      <w:r>
        <w:rPr>
          <w:sz w:val="24"/>
          <w:szCs w:val="24"/>
        </w:rPr>
        <w:t xml:space="preserve">itel </w:t>
      </w:r>
      <w:r w:rsidRPr="00216243">
        <w:rPr>
          <w:sz w:val="24"/>
          <w:szCs w:val="24"/>
        </w:rPr>
        <w:t>4 er det nævnt, at der kan være undt</w:t>
      </w:r>
      <w:r>
        <w:rPr>
          <w:sz w:val="24"/>
          <w:szCs w:val="24"/>
        </w:rPr>
        <w:t>agelser fra normen - DS/EN vedrørende sikkerhed. Kapitel</w:t>
      </w:r>
      <w:r w:rsidRPr="00216243">
        <w:rPr>
          <w:sz w:val="24"/>
          <w:szCs w:val="24"/>
        </w:rPr>
        <w:t xml:space="preserve"> 4 bør umiddelbart ikke have indflydelse på kapitlet om tilgængelighed. </w:t>
      </w:r>
      <w:r>
        <w:rPr>
          <w:sz w:val="24"/>
          <w:szCs w:val="24"/>
        </w:rPr>
        <w:t xml:space="preserve">DH vil anbefale, at der skabes klarhed over, hvorvidt </w:t>
      </w:r>
      <w:r w:rsidRPr="00216243">
        <w:rPr>
          <w:sz w:val="24"/>
          <w:szCs w:val="24"/>
        </w:rPr>
        <w:t>e</w:t>
      </w:r>
      <w:r>
        <w:rPr>
          <w:sz w:val="24"/>
          <w:szCs w:val="24"/>
        </w:rPr>
        <w:t xml:space="preserve">ventuelle </w:t>
      </w:r>
      <w:r w:rsidRPr="00216243">
        <w:rPr>
          <w:sz w:val="24"/>
          <w:szCs w:val="24"/>
        </w:rPr>
        <w:t>undtagelser fra DS/EN i</w:t>
      </w:r>
      <w:r>
        <w:rPr>
          <w:sz w:val="24"/>
          <w:szCs w:val="24"/>
        </w:rPr>
        <w:t xml:space="preserve"> forbindelse </w:t>
      </w:r>
      <w:r w:rsidRPr="00216243">
        <w:rPr>
          <w:sz w:val="24"/>
          <w:szCs w:val="24"/>
        </w:rPr>
        <w:t>med sikkerhed (kap. 4) kan have indflydelse på elevatorens tilgængelighed.</w:t>
      </w:r>
      <w:r>
        <w:rPr>
          <w:sz w:val="24"/>
          <w:szCs w:val="24"/>
        </w:rPr>
        <w:t xml:space="preserve"> </w:t>
      </w:r>
    </w:p>
    <w:p w14:paraId="1019412F" w14:textId="201DF56C" w:rsidR="00C0452E" w:rsidRPr="00C0452E" w:rsidRDefault="00C0452E" w:rsidP="00C0452E">
      <w:pPr>
        <w:pStyle w:val="Listeafsnit"/>
        <w:ind w:left="1440"/>
        <w:rPr>
          <w:b/>
          <w:sz w:val="24"/>
          <w:szCs w:val="24"/>
        </w:rPr>
      </w:pPr>
    </w:p>
    <w:p w14:paraId="051A626B" w14:textId="77777777" w:rsidR="00C0452E" w:rsidRPr="003B4050" w:rsidRDefault="00C0452E" w:rsidP="00C0452E">
      <w:pPr>
        <w:pStyle w:val="Listeafsnit"/>
        <w:numPr>
          <w:ilvl w:val="1"/>
          <w:numId w:val="6"/>
        </w:numPr>
        <w:rPr>
          <w:b/>
          <w:sz w:val="24"/>
          <w:szCs w:val="24"/>
        </w:rPr>
      </w:pPr>
      <w:r w:rsidRPr="003B4050">
        <w:rPr>
          <w:sz w:val="24"/>
          <w:szCs w:val="24"/>
        </w:rPr>
        <w:t xml:space="preserve">Ud over diverse sikkerhedskrav er det vigtigt, at det er </w:t>
      </w:r>
      <w:r>
        <w:rPr>
          <w:sz w:val="24"/>
          <w:szCs w:val="24"/>
        </w:rPr>
        <w:t xml:space="preserve">let </w:t>
      </w:r>
      <w:r w:rsidRPr="003B4050">
        <w:rPr>
          <w:sz w:val="24"/>
          <w:szCs w:val="24"/>
        </w:rPr>
        <w:t xml:space="preserve">at finde frem til </w:t>
      </w:r>
      <w:r>
        <w:rPr>
          <w:sz w:val="24"/>
          <w:szCs w:val="24"/>
        </w:rPr>
        <w:t xml:space="preserve">DS 81-70 - </w:t>
      </w:r>
      <w:r w:rsidRPr="003B4050">
        <w:rPr>
          <w:sz w:val="24"/>
          <w:szCs w:val="24"/>
        </w:rPr>
        <w:t>del 70</w:t>
      </w:r>
      <w:r>
        <w:rPr>
          <w:sz w:val="24"/>
          <w:szCs w:val="24"/>
        </w:rPr>
        <w:t xml:space="preserve"> </w:t>
      </w:r>
      <w:r w:rsidRPr="003B4050">
        <w:rPr>
          <w:i/>
          <w:sz w:val="24"/>
          <w:szCs w:val="24"/>
        </w:rPr>
        <w:t>Tilgængelighed til elevatorer for personer, inklusiv personer med handicap</w:t>
      </w:r>
      <w:r w:rsidRPr="003B4050">
        <w:rPr>
          <w:sz w:val="24"/>
          <w:szCs w:val="24"/>
        </w:rPr>
        <w:t xml:space="preserve">, som handler decideret om indretning. </w:t>
      </w:r>
    </w:p>
    <w:p w14:paraId="4C646B3B" w14:textId="77777777" w:rsidR="00C0452E" w:rsidRPr="00C0452E" w:rsidRDefault="00C0452E" w:rsidP="00C0452E">
      <w:pPr>
        <w:pStyle w:val="Listeafsnit"/>
        <w:ind w:left="1440"/>
        <w:rPr>
          <w:b/>
          <w:sz w:val="24"/>
          <w:szCs w:val="24"/>
        </w:rPr>
      </w:pPr>
    </w:p>
    <w:p w14:paraId="52FF0071" w14:textId="2CCB0D95" w:rsidR="00C0452E" w:rsidRPr="00C0452E" w:rsidRDefault="00C0452E" w:rsidP="00C0452E">
      <w:pPr>
        <w:pStyle w:val="Listeafsnit"/>
        <w:numPr>
          <w:ilvl w:val="1"/>
          <w:numId w:val="6"/>
        </w:numPr>
        <w:rPr>
          <w:b/>
          <w:sz w:val="24"/>
          <w:szCs w:val="24"/>
        </w:rPr>
      </w:pPr>
      <w:r>
        <w:rPr>
          <w:sz w:val="24"/>
          <w:szCs w:val="24"/>
        </w:rPr>
        <w:t>DH vil anbefale, at beskrivelsen af, hvad en type 2 elevator stiller krav om, bør udbygges. Denne del har stor betydning for, at man kan være selvhjulpen fx</w:t>
      </w:r>
      <w:r w:rsidRPr="003B4050">
        <w:rPr>
          <w:sz w:val="24"/>
          <w:szCs w:val="24"/>
        </w:rPr>
        <w:t xml:space="preserve"> god belysning, korrekt indretning med vandret tastatur, følbare knapper</w:t>
      </w:r>
      <w:r>
        <w:rPr>
          <w:sz w:val="24"/>
          <w:szCs w:val="24"/>
        </w:rPr>
        <w:t>,</w:t>
      </w:r>
      <w:r w:rsidRPr="003B4050">
        <w:rPr>
          <w:sz w:val="24"/>
          <w:szCs w:val="24"/>
        </w:rPr>
        <w:t xml:space="preserve"> </w:t>
      </w:r>
      <w:r>
        <w:rPr>
          <w:sz w:val="24"/>
          <w:szCs w:val="24"/>
        </w:rPr>
        <w:t>tale og lyd for etageangivelsen og</w:t>
      </w:r>
      <w:r w:rsidRPr="003B4050">
        <w:rPr>
          <w:sz w:val="24"/>
          <w:szCs w:val="24"/>
        </w:rPr>
        <w:t xml:space="preserve"> </w:t>
      </w:r>
      <w:r>
        <w:rPr>
          <w:sz w:val="24"/>
          <w:szCs w:val="24"/>
        </w:rPr>
        <w:t>o</w:t>
      </w:r>
      <w:r w:rsidRPr="003B4050">
        <w:rPr>
          <w:sz w:val="24"/>
          <w:szCs w:val="24"/>
        </w:rPr>
        <w:t>pmærksomhedsfelt uden for</w:t>
      </w:r>
      <w:r>
        <w:rPr>
          <w:sz w:val="24"/>
          <w:szCs w:val="24"/>
        </w:rPr>
        <w:t>, så</w:t>
      </w:r>
      <w:r w:rsidRPr="003B4050">
        <w:rPr>
          <w:sz w:val="24"/>
          <w:szCs w:val="24"/>
        </w:rPr>
        <w:t xml:space="preserve"> </w:t>
      </w:r>
      <w:r>
        <w:rPr>
          <w:sz w:val="24"/>
          <w:szCs w:val="24"/>
        </w:rPr>
        <w:t>blinde og svagsynede kan finde frem til elevatoren</w:t>
      </w:r>
    </w:p>
    <w:p w14:paraId="33E66CEF" w14:textId="5FF81C59" w:rsidR="00C0452E" w:rsidRPr="00C0452E" w:rsidRDefault="00C0452E" w:rsidP="00C0452E">
      <w:pPr>
        <w:pStyle w:val="Listeafsnit"/>
        <w:ind w:left="1440"/>
        <w:rPr>
          <w:b/>
          <w:sz w:val="24"/>
          <w:szCs w:val="24"/>
        </w:rPr>
      </w:pPr>
    </w:p>
    <w:p w14:paraId="1969EF97" w14:textId="4D7BE733" w:rsidR="00C0452E" w:rsidRPr="00C0452E" w:rsidRDefault="00C0452E" w:rsidP="00C0452E">
      <w:pPr>
        <w:pStyle w:val="Listeafsnit"/>
        <w:numPr>
          <w:ilvl w:val="1"/>
          <w:numId w:val="6"/>
        </w:numPr>
        <w:rPr>
          <w:sz w:val="24"/>
          <w:szCs w:val="24"/>
        </w:rPr>
      </w:pPr>
      <w:r w:rsidRPr="00C0452E">
        <w:rPr>
          <w:sz w:val="24"/>
          <w:szCs w:val="24"/>
        </w:rPr>
        <w:t>Der er krav til tovejskommunikation i elevatorer. Hvordan vil man sikre, at bestemmelsen også kan gælde for døve</w:t>
      </w:r>
      <w:r>
        <w:rPr>
          <w:sz w:val="24"/>
          <w:szCs w:val="24"/>
        </w:rPr>
        <w:t>, hvor teleslynge ikke er en tilstrækkelig løsning</w:t>
      </w:r>
      <w:r w:rsidRPr="00C0452E">
        <w:rPr>
          <w:sz w:val="24"/>
          <w:szCs w:val="24"/>
        </w:rPr>
        <w:t>?</w:t>
      </w:r>
    </w:p>
    <w:p w14:paraId="2127C268" w14:textId="77777777" w:rsidR="003F244E" w:rsidRDefault="003F244E" w:rsidP="00FD4278">
      <w:pPr>
        <w:pStyle w:val="Listeafsnit"/>
        <w:ind w:left="1440"/>
        <w:rPr>
          <w:sz w:val="24"/>
          <w:szCs w:val="24"/>
        </w:rPr>
      </w:pPr>
    </w:p>
    <w:p w14:paraId="48F4DD84" w14:textId="77777777" w:rsidR="003F244E" w:rsidRDefault="003F244E" w:rsidP="003F244E">
      <w:pPr>
        <w:pStyle w:val="Listeafsnit"/>
        <w:numPr>
          <w:ilvl w:val="0"/>
          <w:numId w:val="6"/>
        </w:numPr>
        <w:rPr>
          <w:b/>
          <w:sz w:val="24"/>
          <w:szCs w:val="24"/>
        </w:rPr>
      </w:pPr>
      <w:r w:rsidRPr="00CB2CB5">
        <w:rPr>
          <w:b/>
          <w:sz w:val="24"/>
          <w:szCs w:val="24"/>
        </w:rPr>
        <w:t>Bemærkninger ti</w:t>
      </w:r>
      <w:r>
        <w:rPr>
          <w:b/>
          <w:sz w:val="24"/>
          <w:szCs w:val="24"/>
        </w:rPr>
        <w:t>l punkt 5 Dispensationer</w:t>
      </w:r>
    </w:p>
    <w:p w14:paraId="42C0439D" w14:textId="3212926F" w:rsidR="003F244E" w:rsidRPr="003F244E" w:rsidRDefault="003F244E" w:rsidP="003F244E">
      <w:pPr>
        <w:ind w:left="720"/>
        <w:rPr>
          <w:b/>
          <w:sz w:val="24"/>
          <w:szCs w:val="24"/>
        </w:rPr>
      </w:pPr>
      <w:r w:rsidRPr="003F244E">
        <w:rPr>
          <w:sz w:val="24"/>
          <w:szCs w:val="24"/>
        </w:rPr>
        <w:t>DH vil opfordre til</w:t>
      </w:r>
      <w:r>
        <w:rPr>
          <w:sz w:val="24"/>
          <w:szCs w:val="24"/>
        </w:rPr>
        <w:t>,</w:t>
      </w:r>
      <w:r w:rsidRPr="003F244E">
        <w:rPr>
          <w:sz w:val="24"/>
          <w:szCs w:val="24"/>
        </w:rPr>
        <w:t xml:space="preserve"> at det fremgår at dispensationer så vidt muligt bør undgås og kun undtagelsesvis bør udstedes.</w:t>
      </w:r>
    </w:p>
    <w:sectPr w:rsidR="003F244E" w:rsidRPr="003F244E" w:rsidSect="00D277CA">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39076" w14:textId="77777777" w:rsidR="00CB2CB5" w:rsidRDefault="00CB2CB5">
      <w:r>
        <w:separator/>
      </w:r>
    </w:p>
  </w:endnote>
  <w:endnote w:type="continuationSeparator" w:id="0">
    <w:p w14:paraId="3B239078" w14:textId="77777777" w:rsidR="00CB2CB5" w:rsidRDefault="00CB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3906B" w14:textId="77777777" w:rsidR="00CB2CB5" w:rsidRDefault="00CB2CB5" w:rsidP="00D277CA">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3B23906C" w14:textId="77777777" w:rsidR="00CB2CB5" w:rsidRDefault="00CB2CB5">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3906D" w14:textId="77777777" w:rsidR="00CB2CB5" w:rsidRDefault="00CB2CB5" w:rsidP="00D277CA">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585388">
      <w:rPr>
        <w:rStyle w:val="Sidetal"/>
        <w:rFonts w:eastAsiaTheme="majorEastAsia"/>
        <w:noProof/>
      </w:rPr>
      <w:t>2</w:t>
    </w:r>
    <w:r>
      <w:rPr>
        <w:rStyle w:val="Sidetal"/>
        <w:rFonts w:eastAsiaTheme="majorEastAsia"/>
      </w:rPr>
      <w:fldChar w:fldCharType="end"/>
    </w:r>
  </w:p>
  <w:p w14:paraId="3B23906E" w14:textId="77777777" w:rsidR="00CB2CB5" w:rsidRDefault="00CB2CB5">
    <w:pPr>
      <w:pStyle w:val="Sidefod"/>
      <w:framePr w:wrap="around" w:vAnchor="text" w:hAnchor="margin" w:xAlign="right" w:y="1"/>
      <w:rPr>
        <w:rStyle w:val="Sidetal"/>
        <w:rFonts w:eastAsiaTheme="majorEastAsia"/>
      </w:rPr>
    </w:pPr>
  </w:p>
  <w:p w14:paraId="3B23906F" w14:textId="77777777" w:rsidR="00CB2CB5" w:rsidRDefault="00CB2CB5">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39071" w14:textId="77777777" w:rsidR="00CB2CB5" w:rsidRDefault="00CB2CB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39072" w14:textId="77777777" w:rsidR="00CB2CB5" w:rsidRDefault="00CB2CB5">
      <w:r>
        <w:separator/>
      </w:r>
    </w:p>
  </w:footnote>
  <w:footnote w:type="continuationSeparator" w:id="0">
    <w:p w14:paraId="3B239074" w14:textId="77777777" w:rsidR="00CB2CB5" w:rsidRDefault="00CB2CB5">
      <w:r>
        <w:continuationSeparator/>
      </w:r>
    </w:p>
  </w:footnote>
  <w:footnote w:id="1">
    <w:p w14:paraId="3172FA32" w14:textId="70AC2910" w:rsidR="00CB2CB5" w:rsidRDefault="00CB2CB5">
      <w:pPr>
        <w:pStyle w:val="Fodnotetekst"/>
      </w:pPr>
      <w:r>
        <w:rPr>
          <w:rStyle w:val="Fodnotehenvisning"/>
        </w:rPr>
        <w:footnoteRef/>
      </w:r>
      <w:r>
        <w:t xml:space="preserve"> </w:t>
      </w:r>
      <w:r w:rsidRPr="00C933EE">
        <w:t>http://old.sbi.dk/tilgaengelighed/tjeklister/elevatorer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39068" w14:textId="77777777" w:rsidR="00CB2CB5" w:rsidRDefault="00CB2CB5">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3B239069" w14:textId="77777777" w:rsidR="00CB2CB5" w:rsidRDefault="00CB2CB5">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3906A" w14:textId="77777777" w:rsidR="00CB2CB5" w:rsidRDefault="00CB2CB5">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39070" w14:textId="77777777" w:rsidR="00CB2CB5" w:rsidRDefault="00CB2CB5">
    <w:pPr>
      <w:pStyle w:val="Sidehoved"/>
    </w:pPr>
    <w:r>
      <w:rPr>
        <w:noProof/>
        <w:sz w:val="24"/>
        <w:szCs w:val="24"/>
      </w:rPr>
      <w:drawing>
        <wp:anchor distT="0" distB="0" distL="114300" distR="114300" simplePos="0" relativeHeight="251658240" behindDoc="0" locked="0" layoutInCell="1" allowOverlap="1" wp14:anchorId="3B239072" wp14:editId="3B239073">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9747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7BD"/>
    <w:multiLevelType w:val="hybridMultilevel"/>
    <w:tmpl w:val="AF6C4F1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1C231F2C"/>
    <w:multiLevelType w:val="hybridMultilevel"/>
    <w:tmpl w:val="25DE33CC"/>
    <w:lvl w:ilvl="0" w:tplc="DD3CE58A">
      <w:start w:val="1"/>
      <w:numFmt w:val="decimal"/>
      <w:lvlText w:val="%1."/>
      <w:lvlJc w:val="left"/>
      <w:pPr>
        <w:ind w:left="2160" w:hanging="360"/>
      </w:pPr>
      <w:rPr>
        <w:b/>
      </w:r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2">
    <w:nsid w:val="20980CD4"/>
    <w:multiLevelType w:val="hybridMultilevel"/>
    <w:tmpl w:val="B41AF46A"/>
    <w:lvl w:ilvl="0" w:tplc="DD3CE58A">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2A16698"/>
    <w:multiLevelType w:val="hybridMultilevel"/>
    <w:tmpl w:val="48182F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64265E1"/>
    <w:multiLevelType w:val="hybridMultilevel"/>
    <w:tmpl w:val="10F28BB0"/>
    <w:lvl w:ilvl="0" w:tplc="DD3CE58A">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6AD761C"/>
    <w:multiLevelType w:val="hybridMultilevel"/>
    <w:tmpl w:val="55D2C71C"/>
    <w:lvl w:ilvl="0" w:tplc="DD3CE58A">
      <w:start w:val="1"/>
      <w:numFmt w:val="decimal"/>
      <w:lvlText w:val="%1."/>
      <w:lvlJc w:val="left"/>
      <w:pPr>
        <w:ind w:left="720" w:hanging="360"/>
      </w:pPr>
      <w:rPr>
        <w:b/>
      </w:rPr>
    </w:lvl>
    <w:lvl w:ilvl="1" w:tplc="F2C61D04">
      <w:start w:val="1"/>
      <w:numFmt w:val="lowerLetter"/>
      <w:lvlText w:val="%2."/>
      <w:lvlJc w:val="left"/>
      <w:pPr>
        <w:ind w:left="1440" w:hanging="360"/>
      </w:pPr>
      <w:rPr>
        <w:b/>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5E12E75"/>
    <w:multiLevelType w:val="hybridMultilevel"/>
    <w:tmpl w:val="168098B2"/>
    <w:lvl w:ilvl="0" w:tplc="DD3CE58A">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D0"/>
    <w:rsid w:val="00216243"/>
    <w:rsid w:val="00273F03"/>
    <w:rsid w:val="002912BE"/>
    <w:rsid w:val="002A1EA6"/>
    <w:rsid w:val="00365673"/>
    <w:rsid w:val="003B4050"/>
    <w:rsid w:val="003E7EF6"/>
    <w:rsid w:val="003F244E"/>
    <w:rsid w:val="00417738"/>
    <w:rsid w:val="0045537F"/>
    <w:rsid w:val="004B7581"/>
    <w:rsid w:val="00585388"/>
    <w:rsid w:val="00671838"/>
    <w:rsid w:val="006F17BA"/>
    <w:rsid w:val="00706C79"/>
    <w:rsid w:val="00724886"/>
    <w:rsid w:val="00885060"/>
    <w:rsid w:val="008C60ED"/>
    <w:rsid w:val="00997ED0"/>
    <w:rsid w:val="00A40EEF"/>
    <w:rsid w:val="00C0452E"/>
    <w:rsid w:val="00C4666B"/>
    <w:rsid w:val="00C622FF"/>
    <w:rsid w:val="00C933EE"/>
    <w:rsid w:val="00CB2CB5"/>
    <w:rsid w:val="00D277CA"/>
    <w:rsid w:val="00DE1849"/>
    <w:rsid w:val="00E96393"/>
    <w:rsid w:val="00F12865"/>
    <w:rsid w:val="00FD42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semiHidden/>
    <w:unhideWhenUsed/>
    <w:rsid w:val="00C622FF"/>
    <w:rPr>
      <w:color w:val="0000FF"/>
      <w:u w:val="single"/>
    </w:rPr>
  </w:style>
  <w:style w:type="paragraph" w:styleId="Listeafsnit">
    <w:name w:val="List Paragraph"/>
    <w:basedOn w:val="Normal"/>
    <w:uiPriority w:val="34"/>
    <w:qFormat/>
    <w:rsid w:val="00D277CA"/>
    <w:pPr>
      <w:ind w:left="720"/>
      <w:contextualSpacing/>
    </w:pPr>
  </w:style>
  <w:style w:type="character" w:styleId="BesgtHyperlink">
    <w:name w:val="FollowedHyperlink"/>
    <w:basedOn w:val="Standardskrifttypeiafsnit"/>
    <w:uiPriority w:val="99"/>
    <w:semiHidden/>
    <w:unhideWhenUsed/>
    <w:rsid w:val="00C933EE"/>
    <w:rPr>
      <w:color w:val="800080" w:themeColor="followedHyperlink"/>
      <w:u w:val="single"/>
    </w:rPr>
  </w:style>
  <w:style w:type="paragraph" w:styleId="Markeringsbobletekst">
    <w:name w:val="Balloon Text"/>
    <w:basedOn w:val="Normal"/>
    <w:link w:val="MarkeringsbobletekstTegn"/>
    <w:uiPriority w:val="99"/>
    <w:semiHidden/>
    <w:unhideWhenUsed/>
    <w:rsid w:val="00C933E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33EE"/>
    <w:rPr>
      <w:rFonts w:ascii="Tahoma" w:eastAsia="Times New Roman" w:hAnsi="Tahoma" w:cs="Tahoma"/>
      <w:sz w:val="16"/>
      <w:szCs w:val="16"/>
      <w:lang w:eastAsia="da-DK"/>
    </w:rPr>
  </w:style>
  <w:style w:type="paragraph" w:styleId="Fodnotetekst">
    <w:name w:val="footnote text"/>
    <w:basedOn w:val="Normal"/>
    <w:link w:val="FodnotetekstTegn"/>
    <w:uiPriority w:val="99"/>
    <w:semiHidden/>
    <w:unhideWhenUsed/>
    <w:rsid w:val="00C933EE"/>
    <w:rPr>
      <w:sz w:val="20"/>
    </w:rPr>
  </w:style>
  <w:style w:type="character" w:customStyle="1" w:styleId="FodnotetekstTegn">
    <w:name w:val="Fodnotetekst Tegn"/>
    <w:basedOn w:val="Standardskrifttypeiafsnit"/>
    <w:link w:val="Fodnotetekst"/>
    <w:uiPriority w:val="99"/>
    <w:semiHidden/>
    <w:rsid w:val="00C933EE"/>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C933EE"/>
    <w:rPr>
      <w:vertAlign w:val="superscript"/>
    </w:rPr>
  </w:style>
  <w:style w:type="paragraph" w:styleId="Billedtekst">
    <w:name w:val="caption"/>
    <w:basedOn w:val="Normal"/>
    <w:next w:val="Normal"/>
    <w:uiPriority w:val="35"/>
    <w:unhideWhenUsed/>
    <w:qFormat/>
    <w:rsid w:val="00706C7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semiHidden/>
    <w:unhideWhenUsed/>
    <w:rsid w:val="00C622FF"/>
    <w:rPr>
      <w:color w:val="0000FF"/>
      <w:u w:val="single"/>
    </w:rPr>
  </w:style>
  <w:style w:type="paragraph" w:styleId="Listeafsnit">
    <w:name w:val="List Paragraph"/>
    <w:basedOn w:val="Normal"/>
    <w:uiPriority w:val="34"/>
    <w:qFormat/>
    <w:rsid w:val="00D277CA"/>
    <w:pPr>
      <w:ind w:left="720"/>
      <w:contextualSpacing/>
    </w:pPr>
  </w:style>
  <w:style w:type="character" w:styleId="BesgtHyperlink">
    <w:name w:val="FollowedHyperlink"/>
    <w:basedOn w:val="Standardskrifttypeiafsnit"/>
    <w:uiPriority w:val="99"/>
    <w:semiHidden/>
    <w:unhideWhenUsed/>
    <w:rsid w:val="00C933EE"/>
    <w:rPr>
      <w:color w:val="800080" w:themeColor="followedHyperlink"/>
      <w:u w:val="single"/>
    </w:rPr>
  </w:style>
  <w:style w:type="paragraph" w:styleId="Markeringsbobletekst">
    <w:name w:val="Balloon Text"/>
    <w:basedOn w:val="Normal"/>
    <w:link w:val="MarkeringsbobletekstTegn"/>
    <w:uiPriority w:val="99"/>
    <w:semiHidden/>
    <w:unhideWhenUsed/>
    <w:rsid w:val="00C933E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33EE"/>
    <w:rPr>
      <w:rFonts w:ascii="Tahoma" w:eastAsia="Times New Roman" w:hAnsi="Tahoma" w:cs="Tahoma"/>
      <w:sz w:val="16"/>
      <w:szCs w:val="16"/>
      <w:lang w:eastAsia="da-DK"/>
    </w:rPr>
  </w:style>
  <w:style w:type="paragraph" w:styleId="Fodnotetekst">
    <w:name w:val="footnote text"/>
    <w:basedOn w:val="Normal"/>
    <w:link w:val="FodnotetekstTegn"/>
    <w:uiPriority w:val="99"/>
    <w:semiHidden/>
    <w:unhideWhenUsed/>
    <w:rsid w:val="00C933EE"/>
    <w:rPr>
      <w:sz w:val="20"/>
    </w:rPr>
  </w:style>
  <w:style w:type="character" w:customStyle="1" w:styleId="FodnotetekstTegn">
    <w:name w:val="Fodnotetekst Tegn"/>
    <w:basedOn w:val="Standardskrifttypeiafsnit"/>
    <w:link w:val="Fodnotetekst"/>
    <w:uiPriority w:val="99"/>
    <w:semiHidden/>
    <w:rsid w:val="00C933EE"/>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C933EE"/>
    <w:rPr>
      <w:vertAlign w:val="superscript"/>
    </w:rPr>
  </w:style>
  <w:style w:type="paragraph" w:styleId="Billedtekst">
    <w:name w:val="caption"/>
    <w:basedOn w:val="Normal"/>
    <w:next w:val="Normal"/>
    <w:uiPriority w:val="35"/>
    <w:unhideWhenUsed/>
    <w:qFormat/>
    <w:rsid w:val="00706C7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7457">
      <w:bodyDiv w:val="1"/>
      <w:marLeft w:val="0"/>
      <w:marRight w:val="0"/>
      <w:marTop w:val="0"/>
      <w:marBottom w:val="0"/>
      <w:divBdr>
        <w:top w:val="none" w:sz="0" w:space="0" w:color="auto"/>
        <w:left w:val="none" w:sz="0" w:space="0" w:color="auto"/>
        <w:bottom w:val="none" w:sz="0" w:space="0" w:color="auto"/>
        <w:right w:val="none" w:sz="0" w:space="0" w:color="auto"/>
      </w:divBdr>
    </w:div>
    <w:div w:id="357513083">
      <w:bodyDiv w:val="1"/>
      <w:marLeft w:val="0"/>
      <w:marRight w:val="0"/>
      <w:marTop w:val="0"/>
      <w:marBottom w:val="0"/>
      <w:divBdr>
        <w:top w:val="none" w:sz="0" w:space="0" w:color="auto"/>
        <w:left w:val="none" w:sz="0" w:space="0" w:color="auto"/>
        <w:bottom w:val="none" w:sz="0" w:space="0" w:color="auto"/>
        <w:right w:val="none" w:sz="0" w:space="0" w:color="auto"/>
      </w:divBdr>
    </w:div>
    <w:div w:id="657005649">
      <w:bodyDiv w:val="1"/>
      <w:marLeft w:val="0"/>
      <w:marRight w:val="0"/>
      <w:marTop w:val="0"/>
      <w:marBottom w:val="0"/>
      <w:divBdr>
        <w:top w:val="none" w:sz="0" w:space="0" w:color="auto"/>
        <w:left w:val="none" w:sz="0" w:space="0" w:color="auto"/>
        <w:bottom w:val="none" w:sz="0" w:space="0" w:color="auto"/>
        <w:right w:val="none" w:sz="0" w:space="0" w:color="auto"/>
      </w:divBdr>
    </w:div>
    <w:div w:id="752509647">
      <w:bodyDiv w:val="1"/>
      <w:marLeft w:val="0"/>
      <w:marRight w:val="0"/>
      <w:marTop w:val="0"/>
      <w:marBottom w:val="0"/>
      <w:divBdr>
        <w:top w:val="none" w:sz="0" w:space="0" w:color="auto"/>
        <w:left w:val="none" w:sz="0" w:space="0" w:color="auto"/>
        <w:bottom w:val="none" w:sz="0" w:space="0" w:color="auto"/>
        <w:right w:val="none" w:sz="0" w:space="0" w:color="auto"/>
      </w:divBdr>
    </w:div>
    <w:div w:id="921183494">
      <w:bodyDiv w:val="1"/>
      <w:marLeft w:val="0"/>
      <w:marRight w:val="0"/>
      <w:marTop w:val="0"/>
      <w:marBottom w:val="0"/>
      <w:divBdr>
        <w:top w:val="none" w:sz="0" w:space="0" w:color="auto"/>
        <w:left w:val="none" w:sz="0" w:space="0" w:color="auto"/>
        <w:bottom w:val="none" w:sz="0" w:space="0" w:color="auto"/>
        <w:right w:val="none" w:sz="0" w:space="0" w:color="auto"/>
      </w:divBdr>
    </w:div>
    <w:div w:id="937981986">
      <w:bodyDiv w:val="1"/>
      <w:marLeft w:val="0"/>
      <w:marRight w:val="0"/>
      <w:marTop w:val="0"/>
      <w:marBottom w:val="0"/>
      <w:divBdr>
        <w:top w:val="none" w:sz="0" w:space="0" w:color="auto"/>
        <w:left w:val="none" w:sz="0" w:space="0" w:color="auto"/>
        <w:bottom w:val="none" w:sz="0" w:space="0" w:color="auto"/>
        <w:right w:val="none" w:sz="0" w:space="0" w:color="auto"/>
      </w:divBdr>
    </w:div>
    <w:div w:id="1565412687">
      <w:bodyDiv w:val="1"/>
      <w:marLeft w:val="0"/>
      <w:marRight w:val="0"/>
      <w:marTop w:val="0"/>
      <w:marBottom w:val="0"/>
      <w:divBdr>
        <w:top w:val="none" w:sz="0" w:space="0" w:color="auto"/>
        <w:left w:val="none" w:sz="0" w:space="0" w:color="auto"/>
        <w:bottom w:val="none" w:sz="0" w:space="0" w:color="auto"/>
        <w:right w:val="none" w:sz="0" w:space="0" w:color="auto"/>
      </w:divBdr>
    </w:div>
    <w:div w:id="1819960440">
      <w:bodyDiv w:val="1"/>
      <w:marLeft w:val="0"/>
      <w:marRight w:val="0"/>
      <w:marTop w:val="0"/>
      <w:marBottom w:val="0"/>
      <w:divBdr>
        <w:top w:val="none" w:sz="0" w:space="0" w:color="auto"/>
        <w:left w:val="none" w:sz="0" w:space="0" w:color="auto"/>
        <w:bottom w:val="none" w:sz="0" w:space="0" w:color="auto"/>
        <w:right w:val="none" w:sz="0" w:space="0" w:color="auto"/>
      </w:divBdr>
    </w:div>
    <w:div w:id="205962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SID xmlns="181e6edb-f8a7-4e25-8cbd-c1843e47ac00">346467</TSID>
    <TSTitle xmlns="181e6edb-f8a7-4e25-8cbd-c1843e47ac00">Kommentarer fra Danske Handicaporganisationer til vejledning til elevatorbe-346404_(1)</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2485</TSOwner>
    <TSUpdatedBy xmlns="181e6edb-f8a7-4e25-8cbd-c1843e47ac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0B7577BCEE50498EAC24BCE5E479C6" ma:contentTypeVersion="12" ma:contentTypeDescription="Create a new document." ma:contentTypeScope="" ma:versionID="4a6518e2683a73a23c7c6c811b4a583c">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4F75-4CA7-40A1-AA94-8D290C6994FF}">
  <ds:schemaRefs>
    <ds:schemaRef ds:uri="http://schemas.microsoft.com/office/infopath/2007/PartnerControls"/>
    <ds:schemaRef ds:uri="http://purl.org/dc/terms/"/>
    <ds:schemaRef ds:uri="http://schemas.microsoft.com/office/2006/documentManagement/types"/>
    <ds:schemaRef ds:uri="181e6edb-f8a7-4e25-8cbd-c1843e47ac00"/>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880227F-4B91-4F6F-86A9-517D68BF1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6ED978-157F-41DF-BAF2-29A21BBBDBB6}">
  <ds:schemaRefs>
    <ds:schemaRef ds:uri="http://schemas.microsoft.com/sharepoint/v3/contenttype/forms"/>
  </ds:schemaRefs>
</ds:datastoreItem>
</file>

<file path=customXml/itemProps4.xml><?xml version="1.0" encoding="utf-8"?>
<ds:datastoreItem xmlns:ds="http://schemas.openxmlformats.org/officeDocument/2006/customXml" ds:itemID="{EADB7A0B-7537-448E-AEA0-36499857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Tony Bech</cp:lastModifiedBy>
  <cp:revision>2</cp:revision>
  <dcterms:created xsi:type="dcterms:W3CDTF">2017-11-30T09:45:00Z</dcterms:created>
  <dcterms:modified xsi:type="dcterms:W3CDTF">2017-11-30T09:45:00Z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0x0101003E0B7577BCEE50498EAC24BCE5E479C6</vt:lpwstr>
  </property>
</Properties>
</file>