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F13636" w14:paraId="1B84D75F" w14:textId="77777777" w:rsidTr="00AA0D2C">
        <w:trPr>
          <w:trHeight w:hRule="exact" w:val="737"/>
        </w:trPr>
        <w:tc>
          <w:tcPr>
            <w:tcW w:w="7230" w:type="dxa"/>
          </w:tcPr>
          <w:p w14:paraId="1B84D75D" w14:textId="77777777" w:rsidR="00206780" w:rsidRDefault="00F61AE3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28. april 2020</w:t>
            </w:r>
            <w:bookmarkEnd w:id="0"/>
          </w:p>
          <w:p w14:paraId="1B84D75E" w14:textId="476CCB3D" w:rsidR="00333E52" w:rsidRPr="00244D70" w:rsidRDefault="00F61AE3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1" w:name="SagsID"/>
            <w:r>
              <w:t>166893</w:t>
            </w:r>
            <w:bookmarkEnd w:id="1"/>
            <w:r>
              <w:t xml:space="preserve"> – Dok. </w:t>
            </w:r>
            <w:bookmarkStart w:id="2" w:name="DokID"/>
            <w:r>
              <w:t>485552</w:t>
            </w:r>
            <w:bookmarkEnd w:id="2"/>
            <w:r w:rsidR="003C1ABC">
              <w:t xml:space="preserve"> /tk </w:t>
            </w:r>
          </w:p>
        </w:tc>
      </w:tr>
    </w:tbl>
    <w:p w14:paraId="1B84D760" w14:textId="66630B59" w:rsidR="00DB335E" w:rsidRPr="00502F76" w:rsidRDefault="00C46166" w:rsidP="00316531">
      <w:pPr>
        <w:pStyle w:val="Overskrift1"/>
        <w:pBdr>
          <w:bottom w:val="single" w:sz="4" w:space="1" w:color="auto"/>
        </w:pBdr>
      </w:pPr>
      <w:r>
        <w:t>Notat om aftale om initiativer for sårbare og udsatte grupper ift. COVID-19</w:t>
      </w:r>
    </w:p>
    <w:p w14:paraId="4B28F55B" w14:textId="77777777" w:rsidR="003F5170" w:rsidRDefault="003F5170" w:rsidP="00CC209F">
      <w:pPr>
        <w:rPr>
          <w:rStyle w:val="Underoverskrift"/>
        </w:rPr>
      </w:pPr>
    </w:p>
    <w:p w14:paraId="1B84D761" w14:textId="0FA56271" w:rsidR="00FF591E" w:rsidRDefault="00CE3FA4" w:rsidP="00CC209F">
      <w:pPr>
        <w:rPr>
          <w:rStyle w:val="Underoverskrift"/>
        </w:rPr>
      </w:pPr>
      <w:r w:rsidRPr="00C01765">
        <w:rPr>
          <w:rStyle w:val="Underoverskrift"/>
        </w:rPr>
        <w:t xml:space="preserve">1. </w:t>
      </w:r>
      <w:r w:rsidR="00C46166" w:rsidRPr="00C01765">
        <w:rPr>
          <w:rStyle w:val="Underoverskrift"/>
        </w:rPr>
        <w:t>Indledning</w:t>
      </w:r>
    </w:p>
    <w:p w14:paraId="56BE41B2" w14:textId="77777777" w:rsidR="00C01765" w:rsidRPr="00C01765" w:rsidRDefault="00C01765" w:rsidP="00CC209F">
      <w:pPr>
        <w:rPr>
          <w:rStyle w:val="Underoverskrift"/>
        </w:rPr>
      </w:pPr>
    </w:p>
    <w:p w14:paraId="1B84D762" w14:textId="50C1404C" w:rsidR="00940804" w:rsidRDefault="00C46166" w:rsidP="00DF1EC4">
      <w:r>
        <w:t xml:space="preserve">Aftalen blev indgået 25. april </w:t>
      </w:r>
      <w:r w:rsidR="003F5170">
        <w:t xml:space="preserve">mellem alle Folketingets partier </w:t>
      </w:r>
      <w:r>
        <w:t xml:space="preserve">og er en opfølgning på </w:t>
      </w:r>
      <w:r w:rsidR="003F5170">
        <w:t xml:space="preserve">den politiske aftale om delvis genåbning af det danske samfund. </w:t>
      </w:r>
      <w:r w:rsidR="00DF112D">
        <w:t xml:space="preserve">Baggrunden er, at mange sårbare grupper er hårdt ramt af nedlukning af tilbud mv. </w:t>
      </w:r>
    </w:p>
    <w:p w14:paraId="2236928E" w14:textId="22A1110D" w:rsidR="003F5170" w:rsidRDefault="003F5170" w:rsidP="00DF1EC4"/>
    <w:p w14:paraId="1817F3CC" w14:textId="60838C49" w:rsidR="003F5170" w:rsidRDefault="003F5170" w:rsidP="00DF1EC4">
      <w:r>
        <w:t xml:space="preserve">Aftalen indeholder 3 hovedspor: </w:t>
      </w:r>
    </w:p>
    <w:p w14:paraId="62DD57B4" w14:textId="77777777" w:rsidR="003F5170" w:rsidRPr="003F5170" w:rsidRDefault="003F5170" w:rsidP="003F5170">
      <w:r w:rsidRPr="003F5170">
        <w:t xml:space="preserve"> </w:t>
      </w:r>
    </w:p>
    <w:p w14:paraId="607A86BB" w14:textId="77777777" w:rsidR="003F5170" w:rsidRPr="003F5170" w:rsidRDefault="003F5170" w:rsidP="003F5170">
      <w:r w:rsidRPr="003F5170">
        <w:t>1. Etablering af tre partnerskaber</w:t>
      </w:r>
    </w:p>
    <w:p w14:paraId="3A4CEA72" w14:textId="2E4103D0" w:rsidR="003F5170" w:rsidRPr="003F5170" w:rsidRDefault="003F5170" w:rsidP="003F5170">
      <w:r w:rsidRPr="003F5170">
        <w:t xml:space="preserve">2. </w:t>
      </w:r>
      <w:r>
        <w:t xml:space="preserve">En række </w:t>
      </w:r>
      <w:r w:rsidR="006623C1">
        <w:t xml:space="preserve">sideløbende indsatser målrettet </w:t>
      </w:r>
      <w:r w:rsidRPr="003F5170">
        <w:t xml:space="preserve">udsatte børn og unge, udsatte voksne og mennesker med handicap </w:t>
      </w:r>
    </w:p>
    <w:p w14:paraId="33CAED0F" w14:textId="0C78DDF1" w:rsidR="003F5170" w:rsidRPr="003F5170" w:rsidRDefault="003F5170" w:rsidP="003F5170">
      <w:r w:rsidRPr="003F5170">
        <w:t xml:space="preserve">3. Genoptagelse af aktiviteter på det sociale område </w:t>
      </w:r>
      <w:r w:rsidR="00114F67">
        <w:t>(genåbning, lempelse af besøgsforbud mv.)</w:t>
      </w:r>
    </w:p>
    <w:p w14:paraId="4CD0E7F3" w14:textId="360951CB" w:rsidR="003F5170" w:rsidRDefault="003F5170" w:rsidP="00DF1EC4"/>
    <w:p w14:paraId="1E93A03B" w14:textId="043613FD" w:rsidR="00BC47E3" w:rsidRDefault="00BC47E3" w:rsidP="00DF1EC4">
      <w:r>
        <w:t xml:space="preserve">Der afsættes i alt 215 mio.kr.:  </w:t>
      </w:r>
    </w:p>
    <w:p w14:paraId="5B40FADA" w14:textId="77777777" w:rsidR="00BC47E3" w:rsidRDefault="00BC47E3" w:rsidP="00DF1EC4"/>
    <w:p w14:paraId="36A62459" w14:textId="412610B5" w:rsidR="00BC47E3" w:rsidRPr="00BC47E3" w:rsidRDefault="00BC47E3" w:rsidP="00BC47E3">
      <w:pPr>
        <w:numPr>
          <w:ilvl w:val="0"/>
          <w:numId w:val="15"/>
        </w:numPr>
      </w:pPr>
      <w:r w:rsidRPr="00BC47E3">
        <w:t>131 mio. kr. til særlig hjælp til udsatte børn og unge</w:t>
      </w:r>
    </w:p>
    <w:p w14:paraId="1ECD3B08" w14:textId="2859DA6B" w:rsidR="00BC47E3" w:rsidRPr="00BC47E3" w:rsidRDefault="00BC47E3" w:rsidP="00BC47E3">
      <w:pPr>
        <w:numPr>
          <w:ilvl w:val="0"/>
          <w:numId w:val="15"/>
        </w:numPr>
      </w:pPr>
      <w:r w:rsidRPr="00BC47E3">
        <w:t>37,6 mio. kr. til styrket</w:t>
      </w:r>
      <w:r>
        <w:t xml:space="preserve"> indsats for udsatte voksne, herunder </w:t>
      </w:r>
      <w:r w:rsidRPr="00BC47E3">
        <w:t>mennesker med psykiske lidelser.</w:t>
      </w:r>
    </w:p>
    <w:p w14:paraId="425E6D6F" w14:textId="5DA377EB" w:rsidR="00BC47E3" w:rsidRPr="00BC47E3" w:rsidRDefault="00BC47E3" w:rsidP="00BC47E3">
      <w:pPr>
        <w:numPr>
          <w:ilvl w:val="0"/>
          <w:numId w:val="15"/>
        </w:numPr>
      </w:pPr>
      <w:r w:rsidRPr="00BC47E3">
        <w:t xml:space="preserve">35,7 mio. kr. til </w:t>
      </w:r>
      <w:r>
        <w:t xml:space="preserve">bl.a. at </w:t>
      </w:r>
      <w:r w:rsidRPr="00BC47E3">
        <w:t>bekæmpe ensomhe</w:t>
      </w:r>
      <w:r>
        <w:t>d blandt mennesker med handicap</w:t>
      </w:r>
    </w:p>
    <w:p w14:paraId="636E0DD9" w14:textId="1C4F175F" w:rsidR="00BC47E3" w:rsidRDefault="00BC47E3" w:rsidP="003C5032">
      <w:pPr>
        <w:numPr>
          <w:ilvl w:val="0"/>
          <w:numId w:val="15"/>
        </w:numPr>
      </w:pPr>
      <w:r w:rsidRPr="00BC47E3">
        <w:t>10 mio. kr. til højskolerne og kult</w:t>
      </w:r>
      <w:r>
        <w:t>ur-, idræts- og foreningslivet</w:t>
      </w:r>
    </w:p>
    <w:p w14:paraId="3ECCE2A9" w14:textId="77777777" w:rsidR="00BC47E3" w:rsidRDefault="00BC47E3" w:rsidP="00DF1EC4">
      <w:bookmarkStart w:id="3" w:name="_GoBack"/>
      <w:bookmarkEnd w:id="3"/>
    </w:p>
    <w:p w14:paraId="59D72AA1" w14:textId="03D93439" w:rsidR="003F5170" w:rsidRDefault="00114F67" w:rsidP="00DF1EC4">
      <w:r>
        <w:t xml:space="preserve">Aftale + bilag kan ses her: </w:t>
      </w:r>
      <w:r w:rsidR="003F5170">
        <w:t xml:space="preserve"> </w:t>
      </w:r>
    </w:p>
    <w:p w14:paraId="68F8C448" w14:textId="2A8EF718" w:rsidR="00114F67" w:rsidRDefault="00114F67" w:rsidP="00DF1EC4"/>
    <w:p w14:paraId="49AA0DA3" w14:textId="181CA821" w:rsidR="00114F67" w:rsidRDefault="00114F67" w:rsidP="00DF1EC4">
      <w:r>
        <w:t xml:space="preserve">Aftale: </w:t>
      </w:r>
      <w:hyperlink r:id="rId11" w:history="1">
        <w:r w:rsidRPr="00C87A63">
          <w:rPr>
            <w:rStyle w:val="Hyperlink"/>
          </w:rPr>
          <w:t>https://sim.dk/media/37951/aftale_om_initiativer_for_saarbare_og_udsatte_grupper_apr2020.pdf</w:t>
        </w:r>
      </w:hyperlink>
    </w:p>
    <w:p w14:paraId="30D9FAC2" w14:textId="74D7AA22" w:rsidR="00114F67" w:rsidRDefault="00114F67" w:rsidP="00DF1EC4">
      <w:r>
        <w:t xml:space="preserve">Partnerskaber: </w:t>
      </w:r>
      <w:hyperlink r:id="rId12" w:history="1">
        <w:r w:rsidRPr="00C87A63">
          <w:rPr>
            <w:rStyle w:val="Hyperlink"/>
          </w:rPr>
          <w:t>https://sim.dk/media/37952/bilag-til-aftaletekst-partnerskaber.pdf</w:t>
        </w:r>
      </w:hyperlink>
    </w:p>
    <w:p w14:paraId="158DCB0C" w14:textId="711E1B47" w:rsidR="00114F67" w:rsidRDefault="00114F67" w:rsidP="00DF1EC4">
      <w:r>
        <w:t xml:space="preserve">Økonomisk oversigt: </w:t>
      </w:r>
      <w:hyperlink r:id="rId13" w:history="1">
        <w:r w:rsidRPr="00C87A63">
          <w:rPr>
            <w:rStyle w:val="Hyperlink"/>
          </w:rPr>
          <w:t>https://sim.dk/media/37955/oekonomibilag_til_aftale_om_initiativer_ifm_covid19.pdf</w:t>
        </w:r>
      </w:hyperlink>
    </w:p>
    <w:p w14:paraId="4081BF58" w14:textId="77777777" w:rsidR="00114F67" w:rsidRDefault="00114F67" w:rsidP="00DF1EC4"/>
    <w:p w14:paraId="47DFDBE7" w14:textId="3EB53178" w:rsidR="00BC47E3" w:rsidRDefault="003F5170" w:rsidP="00DF1EC4">
      <w:r>
        <w:t xml:space="preserve">Fokus i dette notat vil være på initiativer af fælles interesse og med DH-involvering. </w:t>
      </w:r>
    </w:p>
    <w:p w14:paraId="2258718F" w14:textId="48379C5D" w:rsidR="00BC47E3" w:rsidRDefault="00BC47E3" w:rsidP="00DF1EC4"/>
    <w:p w14:paraId="18767879" w14:textId="70337308" w:rsidR="00114F67" w:rsidRPr="00C01765" w:rsidRDefault="00CE3FA4" w:rsidP="00DF1EC4">
      <w:pPr>
        <w:rPr>
          <w:rStyle w:val="Underoverskrift"/>
        </w:rPr>
      </w:pPr>
      <w:r w:rsidRPr="00C01765">
        <w:rPr>
          <w:rStyle w:val="Underoverskrift"/>
        </w:rPr>
        <w:t xml:space="preserve">2. </w:t>
      </w:r>
      <w:r w:rsidR="00DF112D" w:rsidRPr="00C01765">
        <w:rPr>
          <w:rStyle w:val="Underoverskrift"/>
        </w:rPr>
        <w:t xml:space="preserve">Overordnet om partnerskaberne </w:t>
      </w:r>
    </w:p>
    <w:p w14:paraId="1A3D17FC" w14:textId="77777777" w:rsidR="00C01765" w:rsidRDefault="00C01765" w:rsidP="00DF1EC4">
      <w:pPr>
        <w:rPr>
          <w:u w:val="single"/>
        </w:rPr>
      </w:pPr>
    </w:p>
    <w:p w14:paraId="39A94971" w14:textId="10BDE314" w:rsidR="00DF112D" w:rsidRDefault="00DF112D" w:rsidP="00DF1EC4">
      <w:r w:rsidRPr="00C8525F">
        <w:rPr>
          <w:u w:val="single"/>
        </w:rPr>
        <w:t>Formål:</w:t>
      </w:r>
      <w:r>
        <w:t xml:space="preserve"> De skal skabe tryghed</w:t>
      </w:r>
      <w:r w:rsidR="00030D3F">
        <w:t xml:space="preserve">, </w:t>
      </w:r>
      <w:r>
        <w:t>modvirke ens</w:t>
      </w:r>
      <w:r w:rsidR="00030D3F">
        <w:t>omhed og mistrivsel</w:t>
      </w:r>
      <w:r w:rsidR="00EB5943">
        <w:t xml:space="preserve"> og</w:t>
      </w:r>
      <w:r w:rsidR="00030D3F">
        <w:t xml:space="preserve"> sikre tilbagevenden til samfundet. </w:t>
      </w:r>
    </w:p>
    <w:p w14:paraId="58A120D1" w14:textId="77777777" w:rsidR="003746E1" w:rsidRDefault="003746E1" w:rsidP="00DF1EC4"/>
    <w:p w14:paraId="2F892E22" w14:textId="71F362CA" w:rsidR="00DF112D" w:rsidRDefault="003746E1" w:rsidP="00DF1EC4">
      <w:r w:rsidRPr="00C8525F">
        <w:rPr>
          <w:u w:val="single"/>
        </w:rPr>
        <w:t>Målgrupper</w:t>
      </w:r>
      <w:r>
        <w:t>: Der er tre c</w:t>
      </w:r>
      <w:r w:rsidRPr="003746E1">
        <w:t>entrale mål</w:t>
      </w:r>
      <w:r>
        <w:t>g</w:t>
      </w:r>
      <w:r w:rsidRPr="003746E1">
        <w:t>rupper: Udsatte børn, udsatte voksne og mennesker med handicap</w:t>
      </w:r>
      <w:r>
        <w:t>.</w:t>
      </w:r>
    </w:p>
    <w:p w14:paraId="2121DA31" w14:textId="21BC20FB" w:rsidR="003746E1" w:rsidRDefault="003746E1" w:rsidP="00DF1EC4"/>
    <w:p w14:paraId="4949F5AE" w14:textId="60E9984A" w:rsidR="003746E1" w:rsidRDefault="003746E1" w:rsidP="00DF1EC4">
      <w:r w:rsidRPr="00C8525F">
        <w:rPr>
          <w:u w:val="single"/>
        </w:rPr>
        <w:t>Hovedopgave</w:t>
      </w:r>
      <w:r>
        <w:t>: Afdække udfordringer</w:t>
      </w:r>
      <w:r w:rsidR="00EB5943">
        <w:t xml:space="preserve"> blandt målgrupperne</w:t>
      </w:r>
      <w:r>
        <w:t xml:space="preserve">, foreslå løsninger. Særligt fokus på nye muligheder og løsninger. </w:t>
      </w:r>
    </w:p>
    <w:p w14:paraId="499AF74C" w14:textId="69836FF8" w:rsidR="00C8525F" w:rsidRDefault="00C8525F" w:rsidP="00DF1EC4"/>
    <w:p w14:paraId="726B7F17" w14:textId="70728599" w:rsidR="00C8525F" w:rsidRDefault="00C8525F" w:rsidP="00DF1EC4">
      <w:r w:rsidRPr="00C8525F">
        <w:rPr>
          <w:u w:val="single"/>
        </w:rPr>
        <w:t>Særlige opgaver ift. genåbningen</w:t>
      </w:r>
      <w:r>
        <w:t xml:space="preserve">: </w:t>
      </w:r>
      <w:r w:rsidRPr="00C8525F">
        <w:t xml:space="preserve">Metoder og anbefalinger </w:t>
      </w:r>
      <w:r>
        <w:t xml:space="preserve">ift. åbning af forskellige sociale tilbud </w:t>
      </w:r>
      <w:r w:rsidRPr="00C8525F">
        <w:t>kan</w:t>
      </w:r>
      <w:r>
        <w:t xml:space="preserve"> initieres og drøf</w:t>
      </w:r>
      <w:r w:rsidRPr="00C8525F">
        <w:t>tes i partnerskaberne</w:t>
      </w:r>
      <w:r>
        <w:t>.</w:t>
      </w:r>
    </w:p>
    <w:p w14:paraId="136ECF4D" w14:textId="77777777" w:rsidR="003746E1" w:rsidRPr="00DF112D" w:rsidRDefault="003746E1" w:rsidP="00DF1EC4"/>
    <w:p w14:paraId="3CBB8BB8" w14:textId="0D710FA2" w:rsidR="00DF112D" w:rsidRDefault="00DF112D" w:rsidP="00DF112D">
      <w:pPr>
        <w:rPr>
          <w:u w:val="single"/>
        </w:rPr>
      </w:pPr>
      <w:r w:rsidRPr="00C8525F">
        <w:rPr>
          <w:u w:val="single"/>
        </w:rPr>
        <w:t>Varighed</w:t>
      </w:r>
      <w:r w:rsidRPr="00DF112D">
        <w:t>: De ophører, når samfundet er fuldt genåbnet</w:t>
      </w:r>
      <w:r w:rsidRPr="00DF112D">
        <w:rPr>
          <w:u w:val="single"/>
        </w:rPr>
        <w:t>.</w:t>
      </w:r>
    </w:p>
    <w:p w14:paraId="4571799E" w14:textId="2D536BFB" w:rsidR="00DF112D" w:rsidRDefault="00DF112D" w:rsidP="00DF112D">
      <w:pPr>
        <w:rPr>
          <w:u w:val="single"/>
        </w:rPr>
      </w:pPr>
    </w:p>
    <w:p w14:paraId="74623DE5" w14:textId="7FD30292" w:rsidR="00DF112D" w:rsidRDefault="00DF112D" w:rsidP="00DF112D">
      <w:r w:rsidRPr="00C8525F">
        <w:rPr>
          <w:u w:val="single"/>
        </w:rPr>
        <w:t>Deltagere</w:t>
      </w:r>
      <w:r>
        <w:t>: A</w:t>
      </w:r>
      <w:r w:rsidRPr="00DF112D">
        <w:t xml:space="preserve">ktører på tværs af myndigheder, civilsamfund, kulturinstitutioner, faglige- og interesseorganisationer private aktører </w:t>
      </w:r>
      <w:r>
        <w:t>og den offent</w:t>
      </w:r>
      <w:r w:rsidRPr="00DF112D">
        <w:t>lige sektor</w:t>
      </w:r>
      <w:r>
        <w:t xml:space="preserve"> med viden om målgrupperne. </w:t>
      </w:r>
    </w:p>
    <w:p w14:paraId="3A73E7EB" w14:textId="07AC3AB6" w:rsidR="00DF112D" w:rsidRDefault="00DF112D" w:rsidP="00DF112D"/>
    <w:p w14:paraId="442B8B13" w14:textId="6140A9FB" w:rsidR="00DF112D" w:rsidRDefault="00EB5943" w:rsidP="00DF112D">
      <w:r>
        <w:rPr>
          <w:u w:val="single"/>
        </w:rPr>
        <w:lastRenderedPageBreak/>
        <w:t>Tilknytning af andre interessenter:</w:t>
      </w:r>
      <w:r>
        <w:t xml:space="preserve">  </w:t>
      </w:r>
      <w:r w:rsidRPr="00EB5943">
        <w:t>Øvrige interessenter og organisationer kan efter aftale tilknyttes partnerskaberne, hvis de ønsker konkret at byde ind med ressourcer, viden og aktiviteter.</w:t>
      </w:r>
    </w:p>
    <w:p w14:paraId="3FA94472" w14:textId="77777777" w:rsidR="00DF112D" w:rsidRPr="00DF112D" w:rsidRDefault="00DF112D" w:rsidP="00DF112D"/>
    <w:p w14:paraId="12BD1A7D" w14:textId="03069D13" w:rsidR="00DF112D" w:rsidRPr="00DF112D" w:rsidRDefault="00EB5943" w:rsidP="00DF112D">
      <w:r>
        <w:rPr>
          <w:u w:val="single"/>
        </w:rPr>
        <w:t>Samarbejde</w:t>
      </w:r>
      <w:r w:rsidR="00DF112D" w:rsidRPr="00DF112D">
        <w:t xml:space="preserve">: Partnerskaberne skal inddrage og samarbejde med andre relevante aktører. </w:t>
      </w:r>
    </w:p>
    <w:p w14:paraId="2859BF83" w14:textId="1614BC7D" w:rsidR="00DF112D" w:rsidRDefault="00DF112D" w:rsidP="00DF112D">
      <w:pPr>
        <w:rPr>
          <w:u w:val="single"/>
        </w:rPr>
      </w:pPr>
    </w:p>
    <w:p w14:paraId="453B45D8" w14:textId="07BC8E81" w:rsidR="00030D3F" w:rsidRDefault="00030D3F" w:rsidP="00DF112D">
      <w:r w:rsidRPr="00C8525F">
        <w:rPr>
          <w:u w:val="single"/>
        </w:rPr>
        <w:t>Formidling</w:t>
      </w:r>
      <w:r>
        <w:t>; Partnerskaberne skal sprede gode erfaringer</w:t>
      </w:r>
      <w:r w:rsidR="00CE3FA4">
        <w:t>, vejledninger, nye ideer</w:t>
      </w:r>
      <w:r>
        <w:t xml:space="preserve">. Der oprettes en fælles portal drevet af Socialstyrelsen. </w:t>
      </w:r>
    </w:p>
    <w:p w14:paraId="1DF757F1" w14:textId="1FE73A38" w:rsidR="00030D3F" w:rsidRDefault="00030D3F" w:rsidP="00DF112D"/>
    <w:p w14:paraId="04B14C24" w14:textId="2EA7B449" w:rsidR="00030D3F" w:rsidRDefault="00030D3F" w:rsidP="00DF112D">
      <w:r w:rsidRPr="00C8525F">
        <w:rPr>
          <w:u w:val="single"/>
        </w:rPr>
        <w:t>Ensomhed</w:t>
      </w:r>
      <w:r>
        <w:t>: Partnerskaberne skal udforme en strategi mod ensomhed inden for deres felt. De</w:t>
      </w:r>
      <w:r w:rsidR="003746E1">
        <w:t xml:space="preserve"> </w:t>
      </w:r>
      <w:r w:rsidR="00046304">
        <w:t xml:space="preserve">skal </w:t>
      </w:r>
      <w:r w:rsidR="003746E1">
        <w:t xml:space="preserve">samles til én fælles strategi mod ensomhed for alle tre målgrupper. </w:t>
      </w:r>
    </w:p>
    <w:p w14:paraId="0133B3F0" w14:textId="30A019CA" w:rsidR="00030D3F" w:rsidRDefault="00030D3F" w:rsidP="00DF112D"/>
    <w:p w14:paraId="090A3965" w14:textId="3A6C24ED" w:rsidR="00030D3F" w:rsidRDefault="00CE3FA4" w:rsidP="00DF112D">
      <w:r w:rsidRPr="00C8525F">
        <w:rPr>
          <w:u w:val="single"/>
        </w:rPr>
        <w:t>Facilitatorer</w:t>
      </w:r>
      <w:r>
        <w:t xml:space="preserve">: Hver partnerskab har en eller flere </w:t>
      </w:r>
      <w:r w:rsidR="00030D3F">
        <w:t>faci</w:t>
      </w:r>
      <w:r>
        <w:t xml:space="preserve">litatorer, der skal igangsætte og koordinere arbejdet. </w:t>
      </w:r>
      <w:r w:rsidR="00030D3F">
        <w:t xml:space="preserve"> </w:t>
      </w:r>
      <w:r>
        <w:t xml:space="preserve">Der afsættes 250.000 kr. pr. partnerskab til facilitatorerne i 2020. </w:t>
      </w:r>
    </w:p>
    <w:p w14:paraId="61D166EC" w14:textId="0A5644F3" w:rsidR="00CE3FA4" w:rsidRDefault="00CE3FA4" w:rsidP="00DF112D"/>
    <w:p w14:paraId="2A9FD1FB" w14:textId="0D864D2F" w:rsidR="00CE3FA4" w:rsidRDefault="00CE3FA4" w:rsidP="00DF112D">
      <w:r w:rsidRPr="00C8525F">
        <w:rPr>
          <w:u w:val="single"/>
        </w:rPr>
        <w:t>Monitorering</w:t>
      </w:r>
      <w:r>
        <w:t xml:space="preserve">; Aftalepartierne vil løbende følge partnerskabernes arbejde. </w:t>
      </w:r>
    </w:p>
    <w:p w14:paraId="744BBA18" w14:textId="4EAB515C" w:rsidR="00CE3FA4" w:rsidRDefault="00CE3FA4" w:rsidP="00DF112D"/>
    <w:p w14:paraId="1D5D0A45" w14:textId="71DDE958" w:rsidR="00CE3FA4" w:rsidRPr="00C01765" w:rsidRDefault="00CE3FA4" w:rsidP="00DF112D">
      <w:pPr>
        <w:rPr>
          <w:rStyle w:val="Underoverskrift"/>
        </w:rPr>
      </w:pPr>
      <w:r w:rsidRPr="00C01765">
        <w:rPr>
          <w:rStyle w:val="Underoverskrift"/>
        </w:rPr>
        <w:t>3. Partnerskab på handicapområdet</w:t>
      </w:r>
      <w:r w:rsidR="006623C1" w:rsidRPr="00C01765">
        <w:rPr>
          <w:rStyle w:val="Underoverskrift"/>
        </w:rPr>
        <w:t xml:space="preserve"> og sideløbende generelle indsatser</w:t>
      </w:r>
    </w:p>
    <w:p w14:paraId="7BBDF512" w14:textId="084FA791" w:rsidR="00CE3FA4" w:rsidRDefault="00CE3FA4" w:rsidP="00DF112D"/>
    <w:p w14:paraId="72DC1AA6" w14:textId="5754EE23" w:rsidR="0092649B" w:rsidRPr="0092649B" w:rsidRDefault="0092649B" w:rsidP="00DF112D">
      <w:pPr>
        <w:rPr>
          <w:b/>
        </w:rPr>
      </w:pPr>
      <w:r w:rsidRPr="0092649B">
        <w:rPr>
          <w:b/>
        </w:rPr>
        <w:t>Partnerskab</w:t>
      </w:r>
    </w:p>
    <w:p w14:paraId="741E7085" w14:textId="14D75D54" w:rsidR="00CE3FA4" w:rsidRDefault="006623C1" w:rsidP="00DF112D">
      <w:r>
        <w:t xml:space="preserve">Der etableres et partnerskab på handicapområdet. Konteksten er de store ændringer i den støtte, mennesker med handicap normalt modtager, kombineret med at mange er i særlig risiko for alvorlige følger af smitte. </w:t>
      </w:r>
    </w:p>
    <w:p w14:paraId="25242E0B" w14:textId="77777777" w:rsidR="006623C1" w:rsidRDefault="006623C1" w:rsidP="00DF112D"/>
    <w:p w14:paraId="549A3954" w14:textId="6B0BBF36" w:rsidR="006623C1" w:rsidRDefault="006623C1" w:rsidP="00DF112D">
      <w:r>
        <w:t xml:space="preserve">Partnerskabet </w:t>
      </w:r>
      <w:r w:rsidR="00046304">
        <w:t xml:space="preserve">skal spille </w:t>
      </w:r>
      <w:r w:rsidR="00046304" w:rsidRPr="00046304">
        <w:t xml:space="preserve">en aktiv rolle med at drøfte og følge de indsatser, som allerede er igangsat eller som igangsættes med den politiske aftale. </w:t>
      </w:r>
      <w:r w:rsidR="00046304">
        <w:t xml:space="preserve">Partnerskabet skal også </w:t>
      </w:r>
      <w:r w:rsidRPr="006623C1">
        <w:t>spille en vigtig rolle i forbindelse med planlægningen og gennemførelsen af nye indsatser</w:t>
      </w:r>
      <w:r w:rsidR="00046304">
        <w:t xml:space="preserve">. </w:t>
      </w:r>
    </w:p>
    <w:p w14:paraId="0646E910" w14:textId="0B6770B4" w:rsidR="006623C1" w:rsidRDefault="006623C1" w:rsidP="00DF112D"/>
    <w:p w14:paraId="07DCA60F" w14:textId="4B42676A" w:rsidR="0092649B" w:rsidRDefault="0092649B" w:rsidP="0092649B">
      <w:r>
        <w:t xml:space="preserve">Inviterede deltagere i partnerskabet: </w:t>
      </w:r>
      <w:r w:rsidRPr="0092649B">
        <w:t>D</w:t>
      </w:r>
      <w:r>
        <w:t xml:space="preserve">H, </w:t>
      </w:r>
      <w:r w:rsidRPr="0092649B">
        <w:t>Udviklingshæmmedes Landsforbund, Dansk Røde Kors, Socialpædagogernes Landsforbund</w:t>
      </w:r>
      <w:r>
        <w:t xml:space="preserve"> (SL)</w:t>
      </w:r>
      <w:r w:rsidRPr="0092649B">
        <w:t>, Dansk Socialrådgi</w:t>
      </w:r>
      <w:r>
        <w:t>verforening, FOA, Landsorganisa</w:t>
      </w:r>
      <w:r w:rsidRPr="0092649B">
        <w:t xml:space="preserve">tionen for Sociale Tilbud, Dansk Handicap Idræts-Forbund, Danmarks Idrætsforbund (DIF), DGI, DUF, Folkebevægelsen mod ensomhed, Foreningen af Folkehøjskoler (FFD), Nota (Danmarks Blindebibliotek), KL og Danske Regioner. </w:t>
      </w:r>
    </w:p>
    <w:p w14:paraId="29458412" w14:textId="77777777" w:rsidR="0092649B" w:rsidRPr="0092649B" w:rsidRDefault="0092649B" w:rsidP="0092649B"/>
    <w:p w14:paraId="1A5B4E42" w14:textId="45981774" w:rsidR="0092649B" w:rsidRDefault="0092649B" w:rsidP="0092649B">
      <w:r w:rsidRPr="0092649B">
        <w:t>D</w:t>
      </w:r>
      <w:r>
        <w:t xml:space="preserve">H </w:t>
      </w:r>
      <w:r w:rsidRPr="0092649B">
        <w:t>og S</w:t>
      </w:r>
      <w:r>
        <w:t>L er inviteret til at være f</w:t>
      </w:r>
      <w:r w:rsidRPr="0092649B">
        <w:t>acilitator</w:t>
      </w:r>
      <w:r>
        <w:t>er</w:t>
      </w:r>
      <w:r w:rsidRPr="0092649B">
        <w:t xml:space="preserve"> for partnerskabet.</w:t>
      </w:r>
    </w:p>
    <w:p w14:paraId="76C89195" w14:textId="77777777" w:rsidR="0092649B" w:rsidRPr="00DF112D" w:rsidRDefault="0092649B" w:rsidP="0092649B"/>
    <w:p w14:paraId="64F0D1B8" w14:textId="6220D6C2" w:rsidR="00DF112D" w:rsidRPr="0092649B" w:rsidRDefault="006623C1" w:rsidP="00DF1EC4">
      <w:pPr>
        <w:rPr>
          <w:b/>
          <w:iCs/>
        </w:rPr>
      </w:pPr>
      <w:r w:rsidRPr="0092649B">
        <w:rPr>
          <w:b/>
          <w:iCs/>
        </w:rPr>
        <w:t>Opsøgende indsatser over for mennesker med funktionsnedsættelse</w:t>
      </w:r>
    </w:p>
    <w:p w14:paraId="386FDFB1" w14:textId="3AEF901E" w:rsidR="006623C1" w:rsidRDefault="006623C1" w:rsidP="00DF1EC4">
      <w:r>
        <w:t>Sideløbende med etable</w:t>
      </w:r>
      <w:r w:rsidR="0092649B">
        <w:t xml:space="preserve">ringen af partnerskabet afsættes 24,5 mio.kr. til DH. Midlerne skal bruges til </w:t>
      </w:r>
      <w:r w:rsidR="0092649B" w:rsidRPr="0092649B">
        <w:t>at igangsætte opsøgende indsatser, herunder telefonisk eller personlig kontakt med bl.a. information om smitterisiko, sociale arrangemente</w:t>
      </w:r>
      <w:r w:rsidR="0092649B">
        <w:t xml:space="preserve">r, medlemsrettede aktiviteter mv. Formålet er at </w:t>
      </w:r>
      <w:r w:rsidR="0092649B" w:rsidRPr="0092649B">
        <w:t>understøtte, at mennesker med handicap kan vende tilbage til hverdagen og fællesskabet.</w:t>
      </w:r>
    </w:p>
    <w:p w14:paraId="1378B3D4" w14:textId="088FA622" w:rsidR="0092649B" w:rsidRDefault="0092649B" w:rsidP="00DF1EC4"/>
    <w:p w14:paraId="09E52991" w14:textId="35F2F28A" w:rsidR="0092649B" w:rsidRPr="00C01765" w:rsidRDefault="00436F13" w:rsidP="00DF1EC4">
      <w:pPr>
        <w:rPr>
          <w:rStyle w:val="Underoverskrift"/>
        </w:rPr>
      </w:pPr>
      <w:r w:rsidRPr="00C01765">
        <w:rPr>
          <w:rStyle w:val="Underoverskrift"/>
        </w:rPr>
        <w:t xml:space="preserve">4. </w:t>
      </w:r>
      <w:r w:rsidR="00020416" w:rsidRPr="00C01765">
        <w:rPr>
          <w:rStyle w:val="Underoverskrift"/>
        </w:rPr>
        <w:t>Øvrige i</w:t>
      </w:r>
      <w:r w:rsidRPr="00C01765">
        <w:rPr>
          <w:rStyle w:val="Underoverskrift"/>
        </w:rPr>
        <w:t>nitiativer af fælles interesse for handicapområdet</w:t>
      </w:r>
    </w:p>
    <w:p w14:paraId="011EE2D2" w14:textId="6DDE6BCD" w:rsidR="00436F13" w:rsidRDefault="00436F13" w:rsidP="00DF1EC4">
      <w:pPr>
        <w:rPr>
          <w:b/>
        </w:rPr>
      </w:pPr>
    </w:p>
    <w:p w14:paraId="08DA9A27" w14:textId="31CB4A55" w:rsidR="00436F13" w:rsidRDefault="00020416" w:rsidP="00DF1EC4">
      <w:r>
        <w:t xml:space="preserve">Der er flere initiativer under de to andre partnerskaber og </w:t>
      </w:r>
      <w:r w:rsidR="007D5429">
        <w:t xml:space="preserve">de </w:t>
      </w:r>
      <w:r>
        <w:t>sideløbende indsatser, som er af interesse</w:t>
      </w:r>
      <w:r w:rsidR="002A7DFE">
        <w:t xml:space="preserve">. </w:t>
      </w:r>
      <w:r>
        <w:t xml:space="preserve"> </w:t>
      </w:r>
    </w:p>
    <w:p w14:paraId="47BAC703" w14:textId="77777777" w:rsidR="00C01765" w:rsidRDefault="00C01765" w:rsidP="00020416"/>
    <w:p w14:paraId="4616E0B2" w14:textId="3FEA2AA7" w:rsidR="00020416" w:rsidRDefault="00EB5943" w:rsidP="00020416">
      <w:r>
        <w:t>Blot ét eksempel: Der a</w:t>
      </w:r>
      <w:r w:rsidR="00020416">
        <w:t xml:space="preserve">fsættes 10 mio.kr til </w:t>
      </w:r>
      <w:r w:rsidR="00020416" w:rsidRPr="00020416">
        <w:t xml:space="preserve">i 2020 til STU-institutionerne. </w:t>
      </w:r>
      <w:r w:rsidR="00020416">
        <w:t xml:space="preserve">De skal </w:t>
      </w:r>
      <w:r w:rsidR="00020416" w:rsidRPr="00020416">
        <w:t xml:space="preserve">anvendes til en styrket indsats for socialt udsatte </w:t>
      </w:r>
      <w:r w:rsidR="00020416">
        <w:t xml:space="preserve">elever, </w:t>
      </w:r>
      <w:r w:rsidR="00020416" w:rsidRPr="00020416">
        <w:t>som vurderes særligt udsatte i forbindelse med deres tilbagevenden til STU-undervisningen</w:t>
      </w:r>
      <w:r w:rsidR="00020416">
        <w:t xml:space="preserve">. </w:t>
      </w:r>
    </w:p>
    <w:p w14:paraId="157322A9" w14:textId="77777777" w:rsidR="002A7DFE" w:rsidRDefault="002A7DFE" w:rsidP="00020416"/>
    <w:p w14:paraId="5933A0AE" w14:textId="2A77C264" w:rsidR="00020416" w:rsidRPr="00C01765" w:rsidRDefault="00046304" w:rsidP="00DF1EC4">
      <w:pPr>
        <w:rPr>
          <w:rStyle w:val="Underoverskrift"/>
        </w:rPr>
      </w:pPr>
      <w:r w:rsidRPr="00C01765">
        <w:rPr>
          <w:rStyle w:val="Underoverskrift"/>
        </w:rPr>
        <w:lastRenderedPageBreak/>
        <w:t>5. Genoptagelse af aktiviteter på det sociale område</w:t>
      </w:r>
    </w:p>
    <w:p w14:paraId="4F6944C7" w14:textId="243D0709" w:rsidR="00046304" w:rsidRDefault="00046304" w:rsidP="00DF1EC4">
      <w:pPr>
        <w:rPr>
          <w:b/>
          <w:bCs/>
        </w:rPr>
      </w:pPr>
    </w:p>
    <w:p w14:paraId="5443B4F7" w14:textId="0426ABBE" w:rsidR="00046304" w:rsidRDefault="00C8525F" w:rsidP="00DF1EC4">
      <w:r>
        <w:t xml:space="preserve">Aftalepartierne er enige om at sætte en gradvis genåbning i gang. </w:t>
      </w:r>
      <w:r w:rsidR="00077BB9">
        <w:t xml:space="preserve">De prioriterer indledningsvist følgende sårbare grupper: </w:t>
      </w:r>
      <w:r w:rsidRPr="00C8525F">
        <w:t>Udsatte børn og unge, voksne med særlige sociale problemer og/eller psykiske lidelser samt børn, unge og voksne med handicap.</w:t>
      </w:r>
    </w:p>
    <w:p w14:paraId="5A205ADA" w14:textId="29475841" w:rsidR="00077BB9" w:rsidRDefault="00077BB9" w:rsidP="00DF1EC4"/>
    <w:p w14:paraId="31118124" w14:textId="5BEC2BD3" w:rsidR="00077BB9" w:rsidRDefault="00077BB9" w:rsidP="00DF1EC4">
      <w:r>
        <w:t xml:space="preserve">Det understreges, at gradvis genåbning ikke kan omfatte alle. Der er sårbare borgere, som på grund af risiko for smitte eller smittespredning ikke omfattes i første omgang. </w:t>
      </w:r>
    </w:p>
    <w:p w14:paraId="07025E97" w14:textId="47EACB67" w:rsidR="00077BB9" w:rsidRDefault="00077BB9" w:rsidP="00DF1EC4"/>
    <w:p w14:paraId="58B4FFB7" w14:textId="37F8BE68" w:rsidR="00077BB9" w:rsidRPr="00077BB9" w:rsidRDefault="00077BB9" w:rsidP="00077BB9">
      <w:r>
        <w:t xml:space="preserve">Hjemsendte medarbejdere i en række kritiske funktioner skal gradvist møde op fysisk. Det gælder bl.a. i </w:t>
      </w:r>
      <w:r w:rsidRPr="00077BB9">
        <w:rPr>
          <w:bCs/>
          <w:u w:val="single"/>
        </w:rPr>
        <w:t>Socialtilsynene</w:t>
      </w:r>
      <w:r>
        <w:rPr>
          <w:bCs/>
        </w:rPr>
        <w:t xml:space="preserve">.  </w:t>
      </w:r>
      <w:r w:rsidRPr="00077BB9">
        <w:rPr>
          <w:b/>
          <w:bCs/>
        </w:rPr>
        <w:t xml:space="preserve"> </w:t>
      </w:r>
      <w:r>
        <w:t xml:space="preserve">Fysiske </w:t>
      </w:r>
      <w:r w:rsidRPr="00077BB9">
        <w:t>tilsynsbesøg vil være et centralt understøttende initiativ i forhold til tilbud, som har været helt eller delvist lukket ned</w:t>
      </w:r>
      <w:r>
        <w:t xml:space="preserve"> - </w:t>
      </w:r>
      <w:r w:rsidRPr="00077BB9">
        <w:t xml:space="preserve">ikke mindst tilbud, som er omfattet af besøgsrestriktioner. </w:t>
      </w:r>
    </w:p>
    <w:p w14:paraId="158A1CDD" w14:textId="545A7859" w:rsidR="00077BB9" w:rsidRDefault="00077BB9" w:rsidP="00DF1EC4"/>
    <w:p w14:paraId="35A27707" w14:textId="77777777" w:rsidR="005133BA" w:rsidRDefault="005133BA" w:rsidP="00077BB9">
      <w:r>
        <w:t xml:space="preserve">Aftale partierne lægger op til at prioritere gradvis genåbning af bl.a. følgende tilbud: </w:t>
      </w:r>
    </w:p>
    <w:p w14:paraId="5971FD61" w14:textId="77777777" w:rsidR="00077BB9" w:rsidRPr="00077BB9" w:rsidRDefault="00077BB9" w:rsidP="00077BB9">
      <w:r w:rsidRPr="00077BB9">
        <w:t xml:space="preserve"> </w:t>
      </w:r>
    </w:p>
    <w:p w14:paraId="05126448" w14:textId="77777777" w:rsidR="00077BB9" w:rsidRPr="00077BB9" w:rsidRDefault="00077BB9" w:rsidP="00077BB9">
      <w:r w:rsidRPr="00077BB9">
        <w:t xml:space="preserve">• væresteder, </w:t>
      </w:r>
    </w:p>
    <w:p w14:paraId="2D9DE32B" w14:textId="77777777" w:rsidR="00077BB9" w:rsidRPr="00077BB9" w:rsidRDefault="00077BB9" w:rsidP="00077BB9">
      <w:r w:rsidRPr="00077BB9">
        <w:t xml:space="preserve">• varmestuer, </w:t>
      </w:r>
    </w:p>
    <w:p w14:paraId="1D20A743" w14:textId="77777777" w:rsidR="00077BB9" w:rsidRPr="00077BB9" w:rsidRDefault="00077BB9" w:rsidP="00077BB9">
      <w:r w:rsidRPr="00077BB9">
        <w:t xml:space="preserve">• aktivitets- og samværstilbud, </w:t>
      </w:r>
    </w:p>
    <w:p w14:paraId="08BD897D" w14:textId="77777777" w:rsidR="00077BB9" w:rsidRPr="00077BB9" w:rsidRDefault="00077BB9" w:rsidP="00077BB9">
      <w:r w:rsidRPr="00077BB9">
        <w:t xml:space="preserve">• beskyttet beskæftigelse, </w:t>
      </w:r>
    </w:p>
    <w:p w14:paraId="6A503336" w14:textId="3270D04C" w:rsidR="00077BB9" w:rsidRPr="00077BB9" w:rsidRDefault="00077BB9" w:rsidP="00077BB9">
      <w:r w:rsidRPr="00077BB9">
        <w:t>• socialpædagogisk støtte (§ 85) f.eks. til borgere i eget hjem, som i perioden har vær</w:t>
      </w:r>
      <w:r w:rsidR="005133BA">
        <w:t>et hårdt ramt af isolation og ensomhed</w:t>
      </w:r>
      <w:r w:rsidRPr="00077BB9">
        <w:t xml:space="preserve"> </w:t>
      </w:r>
    </w:p>
    <w:p w14:paraId="21C97E4E" w14:textId="77777777" w:rsidR="00077BB9" w:rsidRPr="00077BB9" w:rsidRDefault="00077BB9" w:rsidP="00077BB9">
      <w:r w:rsidRPr="00077BB9">
        <w:t xml:space="preserve">• lektiecafeer </w:t>
      </w:r>
    </w:p>
    <w:p w14:paraId="2DC7CDDE" w14:textId="5F7B10E7" w:rsidR="00077BB9" w:rsidRDefault="00077BB9" w:rsidP="00DF1EC4"/>
    <w:p w14:paraId="1F6E21D1" w14:textId="22E3C31E" w:rsidR="005133BA" w:rsidRDefault="005133BA" w:rsidP="00DF1EC4">
      <w:r w:rsidRPr="005133BA">
        <w:t>Metoder og anbefalinger</w:t>
      </w:r>
      <w:r>
        <w:t xml:space="preserve"> rettet mod de konkrete tilbud – særlig dem der er underlagt restriktioner som fx besøgsforbud - </w:t>
      </w:r>
      <w:r w:rsidRPr="005133BA">
        <w:t xml:space="preserve"> kan bl.a. initieres og drøftes i</w:t>
      </w:r>
      <w:r>
        <w:t xml:space="preserve"> part</w:t>
      </w:r>
      <w:r w:rsidRPr="005133BA">
        <w:t>nerskaberne</w:t>
      </w:r>
      <w:r w:rsidR="00C01765">
        <w:t xml:space="preserve">. </w:t>
      </w:r>
    </w:p>
    <w:p w14:paraId="16C11B96" w14:textId="77777777" w:rsidR="00C01765" w:rsidRDefault="00C01765" w:rsidP="00DF1EC4"/>
    <w:p w14:paraId="2A1EE6BB" w14:textId="3C9964B5" w:rsidR="005133BA" w:rsidRDefault="005133BA" w:rsidP="00DF1EC4">
      <w:r w:rsidRPr="005133BA">
        <w:t xml:space="preserve">Kommunerne </w:t>
      </w:r>
      <w:r>
        <w:t>opfordres til at være opmærksomme</w:t>
      </w:r>
      <w:r w:rsidRPr="005133BA">
        <w:t xml:space="preserve"> på, om der er børn, voksne eller familier, som </w:t>
      </w:r>
      <w:r>
        <w:t xml:space="preserve">har behov for en ekstra indsats. Opfordringen vil blive fulgt op af en </w:t>
      </w:r>
      <w:r w:rsidRPr="00C01765">
        <w:rPr>
          <w:u w:val="single"/>
        </w:rPr>
        <w:t>ændring af bekendtgørelsen om midlertidig fravigelse af forpligtelser</w:t>
      </w:r>
      <w:r w:rsidRPr="005133BA">
        <w:t xml:space="preserve"> for det offentlige og af privates rettigheder over for det offentlige på socialområdet</w:t>
      </w:r>
      <w:r w:rsidR="00CD0D63">
        <w:t>.</w:t>
      </w:r>
      <w:r w:rsidR="00175255">
        <w:rPr>
          <w:rStyle w:val="Fodnotehenvisning"/>
        </w:rPr>
        <w:footnoteReference w:id="1"/>
      </w:r>
      <w:r w:rsidR="002A7DFE">
        <w:t xml:space="preserve"> </w:t>
      </w:r>
      <w:r>
        <w:t xml:space="preserve">Kommunernes mulighed for at stoppe eller begrænse allerede bevilget støtte vil blive indskrænket. </w:t>
      </w:r>
    </w:p>
    <w:p w14:paraId="2ED55951" w14:textId="3D45AF17" w:rsidR="005133BA" w:rsidRDefault="005133BA" w:rsidP="00DF1EC4"/>
    <w:p w14:paraId="3F833BC6" w14:textId="77777777" w:rsidR="003651ED" w:rsidRPr="003651ED" w:rsidRDefault="003651ED" w:rsidP="003651ED">
      <w:pPr>
        <w:rPr>
          <w:b/>
        </w:rPr>
      </w:pPr>
      <w:r w:rsidRPr="003651ED">
        <w:rPr>
          <w:b/>
          <w:iCs/>
        </w:rPr>
        <w:t xml:space="preserve">Lempelse af besøgsrestriktioner på anbringelsessteder og botilbud </w:t>
      </w:r>
    </w:p>
    <w:p w14:paraId="355AE2CB" w14:textId="14860A12" w:rsidR="005133BA" w:rsidRDefault="003651ED" w:rsidP="003651ED">
      <w:r>
        <w:t xml:space="preserve">Det </w:t>
      </w:r>
      <w:r w:rsidRPr="003651ED">
        <w:t>gældende besøgsforbud på anbringelsessteder og botilbud skal lempes</w:t>
      </w:r>
      <w:r>
        <w:t>. S</w:t>
      </w:r>
      <w:r w:rsidRPr="003651ED">
        <w:t xml:space="preserve">undfaglige retningslinjer </w:t>
      </w:r>
      <w:r>
        <w:t xml:space="preserve">skal dog </w:t>
      </w:r>
      <w:r w:rsidRPr="003651ED">
        <w:t>iagttages o</w:t>
      </w:r>
      <w:r>
        <w:t xml:space="preserve">g risikoen for smitte ikke øges. </w:t>
      </w:r>
      <w:r w:rsidRPr="003651ED">
        <w:t>Det konkrete forslag til lempelse udarbejdes af Social- og Indenrigsministeriet efter drøftelse med sundhedsmyndighederne og aftalepartierne</w:t>
      </w:r>
      <w:r>
        <w:t xml:space="preserve">. </w:t>
      </w:r>
    </w:p>
    <w:p w14:paraId="753D01A5" w14:textId="23FD5F46" w:rsidR="003651ED" w:rsidRDefault="003651ED" w:rsidP="003651ED"/>
    <w:p w14:paraId="00698F36" w14:textId="384B3D51" w:rsidR="003651ED" w:rsidRPr="00046304" w:rsidRDefault="003651ED" w:rsidP="003651ED">
      <w:r w:rsidRPr="003651ED">
        <w:t xml:space="preserve">Lempelserne </w:t>
      </w:r>
      <w:r>
        <w:t>skal</w:t>
      </w:r>
      <w:r w:rsidRPr="003651ED">
        <w:t xml:space="preserve"> understøttes og suppleres af udvikling af og information om metoder til afholdelse af besøg på en sundhedsfagligt ansvarligt måde. Metoder og anbefalin</w:t>
      </w:r>
      <w:r>
        <w:t>ger kan bl.a. initieres og drøf</w:t>
      </w:r>
      <w:r w:rsidRPr="003651ED">
        <w:t>tes i partnerskaberne</w:t>
      </w:r>
      <w:r w:rsidR="00C01765">
        <w:t xml:space="preserve">. </w:t>
      </w:r>
    </w:p>
    <w:sectPr w:rsidR="003651ED" w:rsidRPr="00046304" w:rsidSect="00DB33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18D4" w14:textId="77777777" w:rsidR="007D38E0" w:rsidRDefault="007D38E0">
      <w:pPr>
        <w:spacing w:line="240" w:lineRule="auto"/>
      </w:pPr>
      <w:r>
        <w:separator/>
      </w:r>
    </w:p>
  </w:endnote>
  <w:endnote w:type="continuationSeparator" w:id="0">
    <w:p w14:paraId="3AB91B3A" w14:textId="77777777" w:rsidR="007D38E0" w:rsidRDefault="007D3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120F5826-73D7-41FC-BB47-344F87D5C11C}"/>
    <w:embedBold r:id="rId2" w:fontKey="{101B714F-2B5C-4C77-A7BA-314BB707DBDD}"/>
    <w:embedItalic r:id="rId3" w:fontKey="{17B4AF64-FAE2-47F1-A2AB-8E604AAE1035}"/>
    <w:embedBoldItalic r:id="rId4" w:fontKey="{DBE5FB0C-092E-418A-B49D-C8EF2F3992F9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028B7C90-E158-45F7-82D0-AD9B1DCEBC53}"/>
    <w:embedBold r:id="rId6" w:fontKey="{B1E57C37-0BE9-4168-AF78-D5ED55BFF4ED}"/>
    <w:embedItalic r:id="rId7" w:fontKey="{5E42EA1A-BFA0-4EB7-9C9A-C9CF6CAE8BEE}"/>
    <w:embedBoldItalic r:id="rId8" w:fontKey="{AFFB5134-971F-49F6-88F6-53ABC0E32109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766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767" w14:textId="77777777" w:rsidR="00100249" w:rsidRDefault="00F61AE3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4D76D" wp14:editId="1B84D76E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84D773" w14:textId="2AAAF579" w:rsidR="00100249" w:rsidRDefault="00F61AE3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5338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5338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4D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1B84D773" w14:textId="2AAAF579" w:rsidR="00100249" w:rsidRDefault="00F61AE3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5338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5338C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F13636" w14:paraId="1B84D76B" w14:textId="77777777" w:rsidTr="00A97F6A">
      <w:tc>
        <w:tcPr>
          <w:tcW w:w="10915" w:type="dxa"/>
          <w:hideMark/>
        </w:tcPr>
        <w:p w14:paraId="1B84D76A" w14:textId="77777777" w:rsidR="00A97F6A" w:rsidRDefault="00F61AE3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1B84D76C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06C8" w14:textId="77777777" w:rsidR="007D38E0" w:rsidRDefault="007D38E0">
      <w:pPr>
        <w:spacing w:line="240" w:lineRule="auto"/>
      </w:pPr>
      <w:r>
        <w:separator/>
      </w:r>
    </w:p>
  </w:footnote>
  <w:footnote w:type="continuationSeparator" w:id="0">
    <w:p w14:paraId="2787AB15" w14:textId="77777777" w:rsidR="007D38E0" w:rsidRDefault="007D38E0">
      <w:pPr>
        <w:spacing w:line="240" w:lineRule="auto"/>
      </w:pPr>
      <w:r>
        <w:continuationSeparator/>
      </w:r>
    </w:p>
  </w:footnote>
  <w:footnote w:id="1">
    <w:p w14:paraId="2348D461" w14:textId="0D0F3635" w:rsidR="00175255" w:rsidRPr="00175255" w:rsidRDefault="00175255">
      <w:pPr>
        <w:pStyle w:val="Fodnotetekst"/>
        <w:rPr>
          <w:sz w:val="18"/>
        </w:rPr>
      </w:pPr>
      <w:r>
        <w:rPr>
          <w:rStyle w:val="Fodnotehenvisning"/>
        </w:rPr>
        <w:footnoteRef/>
      </w:r>
      <w:r>
        <w:t xml:space="preserve"> </w:t>
      </w:r>
      <w:r w:rsidRPr="00175255">
        <w:rPr>
          <w:sz w:val="18"/>
        </w:rPr>
        <w:t>Der er to bekendtgørelser om fravigelse af forpligtelser. Den ene ligger under Social- og Indenrigsministeren, den anden under Sundheds- og Ældreministeren. Sidstnævnte omha</w:t>
      </w:r>
      <w:r w:rsidR="00F61AE3">
        <w:rPr>
          <w:sz w:val="18"/>
        </w:rPr>
        <w:t xml:space="preserve">ndler bl.a. væsentlige områder </w:t>
      </w:r>
      <w:r w:rsidRPr="00175255">
        <w:rPr>
          <w:sz w:val="18"/>
        </w:rPr>
        <w:t xml:space="preserve">som hjemmehjælp, genoptræning og vedligeholdelsestræning og tilbud om aflastning. Man må gå ud fra, at </w:t>
      </w:r>
      <w:r w:rsidRPr="00175255">
        <w:rPr>
          <w:sz w:val="18"/>
          <w:u w:val="single"/>
        </w:rPr>
        <w:t>begge bekendtgørelser</w:t>
      </w:r>
      <w:r w:rsidRPr="00175255">
        <w:rPr>
          <w:sz w:val="18"/>
        </w:rPr>
        <w:t xml:space="preserve"> </w:t>
      </w:r>
      <w:r w:rsidR="00F61AE3">
        <w:rPr>
          <w:sz w:val="18"/>
        </w:rPr>
        <w:t xml:space="preserve">skal </w:t>
      </w:r>
      <w:r w:rsidRPr="00175255">
        <w:rPr>
          <w:sz w:val="18"/>
        </w:rPr>
        <w:t xml:space="preserve">ændres, selv om kun den ene nævnes i aftalen.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763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764" w14:textId="77777777" w:rsidR="00022BE5" w:rsidRDefault="00022BE5" w:rsidP="00022BE5">
    <w:pPr>
      <w:pStyle w:val="Sidehoved"/>
    </w:pPr>
  </w:p>
  <w:p w14:paraId="1B84D765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D768" w14:textId="77777777" w:rsidR="002762D8" w:rsidRDefault="00F61AE3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B84D76F" wp14:editId="1B84D770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1B84D771" wp14:editId="1B84D7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4D769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1A5A4D"/>
    <w:multiLevelType w:val="multilevel"/>
    <w:tmpl w:val="1B3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0416"/>
    <w:rsid w:val="00022133"/>
    <w:rsid w:val="00022BE5"/>
    <w:rsid w:val="00030D3F"/>
    <w:rsid w:val="00046304"/>
    <w:rsid w:val="00077BB9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4F67"/>
    <w:rsid w:val="00116DF3"/>
    <w:rsid w:val="00117B3D"/>
    <w:rsid w:val="0013244F"/>
    <w:rsid w:val="001473EB"/>
    <w:rsid w:val="0015406F"/>
    <w:rsid w:val="001542A8"/>
    <w:rsid w:val="00175255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A7DFE"/>
    <w:rsid w:val="002B6986"/>
    <w:rsid w:val="002C5297"/>
    <w:rsid w:val="002C64DC"/>
    <w:rsid w:val="002D5562"/>
    <w:rsid w:val="002E27B6"/>
    <w:rsid w:val="002E74A4"/>
    <w:rsid w:val="003033F8"/>
    <w:rsid w:val="00303699"/>
    <w:rsid w:val="00315D5D"/>
    <w:rsid w:val="00316531"/>
    <w:rsid w:val="00333E52"/>
    <w:rsid w:val="003502D1"/>
    <w:rsid w:val="0035338C"/>
    <w:rsid w:val="00361BC1"/>
    <w:rsid w:val="003651ED"/>
    <w:rsid w:val="003746E1"/>
    <w:rsid w:val="003B0D54"/>
    <w:rsid w:val="003B35B0"/>
    <w:rsid w:val="003C1ABC"/>
    <w:rsid w:val="003C3569"/>
    <w:rsid w:val="003C4F9F"/>
    <w:rsid w:val="003C60F1"/>
    <w:rsid w:val="003F5170"/>
    <w:rsid w:val="004166DD"/>
    <w:rsid w:val="00421009"/>
    <w:rsid w:val="00424709"/>
    <w:rsid w:val="00424AD9"/>
    <w:rsid w:val="00436CBB"/>
    <w:rsid w:val="00436F13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33BA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23C1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D38E0"/>
    <w:rsid w:val="007D5429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2649B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C47E3"/>
    <w:rsid w:val="00BE2A74"/>
    <w:rsid w:val="00BF0D57"/>
    <w:rsid w:val="00C01765"/>
    <w:rsid w:val="00C0433E"/>
    <w:rsid w:val="00C21C9F"/>
    <w:rsid w:val="00C357EF"/>
    <w:rsid w:val="00C41E04"/>
    <w:rsid w:val="00C439CB"/>
    <w:rsid w:val="00C46166"/>
    <w:rsid w:val="00C64739"/>
    <w:rsid w:val="00C8525F"/>
    <w:rsid w:val="00CA0183"/>
    <w:rsid w:val="00CA0A7D"/>
    <w:rsid w:val="00CA4E77"/>
    <w:rsid w:val="00CB3EFE"/>
    <w:rsid w:val="00CC209F"/>
    <w:rsid w:val="00CC6322"/>
    <w:rsid w:val="00CD0D63"/>
    <w:rsid w:val="00CE3FA4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12D"/>
    <w:rsid w:val="00DF1260"/>
    <w:rsid w:val="00DF1EC4"/>
    <w:rsid w:val="00E10AC0"/>
    <w:rsid w:val="00E53EE9"/>
    <w:rsid w:val="00E67350"/>
    <w:rsid w:val="00E9405E"/>
    <w:rsid w:val="00EB5943"/>
    <w:rsid w:val="00ED6EC5"/>
    <w:rsid w:val="00EF474E"/>
    <w:rsid w:val="00F0152B"/>
    <w:rsid w:val="00F04788"/>
    <w:rsid w:val="00F13636"/>
    <w:rsid w:val="00F233E7"/>
    <w:rsid w:val="00F4074D"/>
    <w:rsid w:val="00F61AE3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75D"/>
  <w15:docId w15:val="{A991629F-5AD8-4644-B188-408A4507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3F5170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175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78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606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m.dk/media/37955/oekonomibilag_til_aftale_om_initiativer_ifm_covid19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m.dk/media/37952/bilag-til-aftaletekst-partnerskabe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m.dk/media/37951/aftale_om_initiativer_for_saarbare_og_udsatte_grupper_apr202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A0C489C43484E88B79A6B03654D8C" ma:contentTypeVersion="0" ma:contentTypeDescription="Create a new document." ma:contentTypeScope="" ma:versionID="57015852bc4be5e26e28f35eb42d49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34E0-703A-473B-8AF8-367E2BEAB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14673-A0C7-46BE-B26D-40E50A3D9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E965A-3D14-4232-9593-21643E113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DE718-81BF-437A-A9C8-BFA1C02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0</TotalTime>
  <Pages>3</Pages>
  <Words>1052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Torben Kajberg</cp:lastModifiedBy>
  <cp:revision>2</cp:revision>
  <dcterms:created xsi:type="dcterms:W3CDTF">2020-04-29T12:56:00Z</dcterms:created>
  <dcterms:modified xsi:type="dcterms:W3CDTF">2020-04-29T12:56:00Z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0x01010009BA0C489C43484E88B79A6B03654D8C</vt:lpwstr>
  </property>
  <property fmtid="{D5CDD505-2E9C-101B-9397-08002B2CF9AE}" pid="3" name="TeamShareLastOpen">
    <vt:lpwstr>28-04-2020 18:29:07</vt:lpwstr>
  </property>
</Properties>
</file>