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8B8" w14:textId="51ADC0B9" w:rsidR="00A00B7F" w:rsidRDefault="00A00B7F" w:rsidP="00A00B7F">
      <w:pPr>
        <w:pStyle w:val="Overskrift1"/>
        <w:rPr>
          <w:lang w:eastAsia="da-DK"/>
        </w:rPr>
      </w:pPr>
      <w:r>
        <w:rPr>
          <w:lang w:eastAsia="da-DK"/>
        </w:rPr>
        <w:t>Igangværende partnerskaber som indsluses i programmet</w:t>
      </w:r>
    </w:p>
    <w:p w14:paraId="6C302472" w14:textId="77777777" w:rsidR="00823CBD" w:rsidRDefault="00823CBD" w:rsidP="00823CBD">
      <w:pPr>
        <w:rPr>
          <w:i/>
          <w:iCs/>
          <w:lang w:eastAsia="da-DK"/>
        </w:rPr>
      </w:pPr>
      <w:r>
        <w:rPr>
          <w:i/>
          <w:iCs/>
          <w:lang w:eastAsia="da-DK"/>
        </w:rPr>
        <w:t xml:space="preserve">Dette dokument beskriver, hvordan kommende program-organisationer skal forholde sig til de projekter, som tages med i programmet. Dette gælder udelukkende i overgangen 2024-2025. </w:t>
      </w:r>
    </w:p>
    <w:p w14:paraId="6AF6F8CC" w14:textId="77777777" w:rsidR="00823CBD" w:rsidRDefault="00823CBD" w:rsidP="00823CBD">
      <w:pPr>
        <w:rPr>
          <w:rFonts w:cstheme="minorHAnsi"/>
          <w:color w:val="000000" w:themeColor="text1"/>
        </w:rPr>
      </w:pPr>
    </w:p>
    <w:p w14:paraId="3714BB89" w14:textId="03667E86" w:rsidR="00823CBD" w:rsidRDefault="00823CBD" w:rsidP="00823C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 de partnerskaber, som indsluses i programmet, ophører de gældende kontrakter</w:t>
      </w:r>
      <w:r w:rsidR="00FC507E">
        <w:rPr>
          <w:rFonts w:cstheme="minorHAnsi"/>
          <w:color w:val="000000" w:themeColor="text1"/>
        </w:rPr>
        <w:t xml:space="preserve"> i Q1 </w:t>
      </w:r>
      <w:r>
        <w:rPr>
          <w:rFonts w:cstheme="minorHAnsi"/>
          <w:color w:val="000000" w:themeColor="text1"/>
        </w:rPr>
        <w:t>202</w:t>
      </w:r>
      <w:r w:rsidR="00FD6CD3">
        <w:rPr>
          <w:rFonts w:cstheme="minorHAnsi"/>
          <w:color w:val="000000" w:themeColor="text1"/>
        </w:rPr>
        <w:t>5</w:t>
      </w:r>
      <w:r w:rsidR="00FC507E">
        <w:rPr>
          <w:rFonts w:cstheme="minorHAnsi"/>
          <w:color w:val="000000" w:themeColor="text1"/>
        </w:rPr>
        <w:t xml:space="preserve"> </w:t>
      </w:r>
      <w:r w:rsidR="00FC507E">
        <w:t>forudsat at godkendelse fra UM foreligger</w:t>
      </w:r>
      <w:r>
        <w:rPr>
          <w:rFonts w:cstheme="minorHAnsi"/>
          <w:color w:val="000000" w:themeColor="text1"/>
        </w:rPr>
        <w:t xml:space="preserve">. Den danske organisation vil i stedet skulle følge de krav, som indgår i programaftalen. Der skal naturligvis aflægges rapport og regnskab på resultater og forbrug frem til den 31.12.24 og nedenfor beskrives kravene til dette. </w:t>
      </w:r>
    </w:p>
    <w:p w14:paraId="6C58FCFB" w14:textId="77777777" w:rsidR="00A00B7F" w:rsidRDefault="00A00B7F" w:rsidP="00A00B7F">
      <w:pPr>
        <w:rPr>
          <w:i/>
          <w:iCs/>
          <w:lang w:eastAsia="da-DK"/>
        </w:rPr>
      </w:pPr>
    </w:p>
    <w:p w14:paraId="5DF0F08F" w14:textId="7F49808D" w:rsidR="00A00B7F" w:rsidRDefault="00A00B7F" w:rsidP="00A00B7F">
      <w:pPr>
        <w:pStyle w:val="Overskrift2"/>
        <w:rPr>
          <w:i/>
          <w:iCs/>
          <w:lang w:eastAsia="da-DK"/>
        </w:rPr>
      </w:pPr>
      <w:r w:rsidRPr="00A00B7F">
        <w:rPr>
          <w:lang w:eastAsia="da-DK"/>
        </w:rPr>
        <w:t xml:space="preserve">Baggrund: </w:t>
      </w:r>
    </w:p>
    <w:p w14:paraId="7BE9E683" w14:textId="77777777" w:rsidR="00A00B7F" w:rsidRDefault="00A00B7F" w:rsidP="00A00B7F">
      <w:pPr>
        <w:rPr>
          <w:rFonts w:cstheme="minorHAnsi"/>
          <w:i/>
          <w:iCs/>
          <w:color w:val="000000" w:themeColor="text1"/>
        </w:rPr>
      </w:pPr>
      <w:r w:rsidRPr="00A00B7F">
        <w:rPr>
          <w:rFonts w:cstheme="minorHAnsi"/>
          <w:i/>
          <w:iCs/>
          <w:color w:val="000000" w:themeColor="text1"/>
        </w:rPr>
        <w:t>Beslutningen om hvilke mål og aktiviteter i de eksisterende partnerskaber, der integreres/fortsættes i programmet og hvilke som ikke passer ind overlades til den danske organisation.</w:t>
      </w:r>
    </w:p>
    <w:p w14:paraId="62CF3FF0" w14:textId="77777777" w:rsidR="00A00B7F" w:rsidRDefault="00A00B7F" w:rsidP="00A00B7F">
      <w:pPr>
        <w:rPr>
          <w:rFonts w:cstheme="minorHAnsi"/>
          <w:i/>
          <w:iCs/>
          <w:color w:val="000000" w:themeColor="text1"/>
        </w:rPr>
      </w:pPr>
    </w:p>
    <w:p w14:paraId="7098D7C6" w14:textId="6E90DF8F" w:rsidR="00A00B7F" w:rsidRDefault="00A00B7F" w:rsidP="00A00B7F">
      <w:r>
        <w:rPr>
          <w:rFonts w:cstheme="minorHAnsi"/>
        </w:rPr>
        <w:t xml:space="preserve">Programmet er en gentænkning af måden at have partnerskaber på. I stedet for flere enkeltstående projektpartnerskaber ses udviklingsarbejde som en helhed, som udmøntes i nogle overordnede </w:t>
      </w:r>
      <w:r>
        <w:rPr>
          <w:rFonts w:cstheme="minorHAnsi"/>
          <w:color w:val="000000" w:themeColor="text1"/>
          <w:shd w:val="clear" w:color="auto" w:fill="FFFFFF"/>
        </w:rPr>
        <w:t xml:space="preserve">mål. For at dette skal kunne eksekveres i en virkelighed, hvor den danske organisation allerede har igangværende projektsamarbejde med en del partnere, er det afgørende, at organisationen har mulighed for at gentænke, hvordan de enkelte partnerskaber bedst samles i fælles mål og på sigt bidrager med at styrke hinanden. </w:t>
      </w:r>
      <w:r>
        <w:rPr>
          <w:rFonts w:cstheme="minorHAnsi"/>
          <w:color w:val="000000" w:themeColor="text1"/>
        </w:rPr>
        <w:t xml:space="preserve">Den danske organisation er ikke bundet af de resultatrammer, som er den del af de oprindelige bevillinger. Med programaftalen nulstilles forpligtelsen i de oprindelige bevillinger og organisationen forventes i stedet at rapportere op imod den godkendte program-resultatramme. </w:t>
      </w:r>
      <w:r>
        <w:t xml:space="preserve">Dette giver mulighed for, sammen med partnerne, at revidere målsætninger, budgetter og strategiske tilgange som en del af ansøgningsprocessen for det nye program. </w:t>
      </w:r>
    </w:p>
    <w:p w14:paraId="653A337D" w14:textId="77777777" w:rsidR="00A00B7F" w:rsidRDefault="00A00B7F" w:rsidP="00A00B7F"/>
    <w:p w14:paraId="329AB0E1" w14:textId="59906408" w:rsidR="00A00B7F" w:rsidRDefault="00A00B7F" w:rsidP="00A00B7F">
      <w:r>
        <w:t xml:space="preserve">Grundet denne overgangsperiode vil nogle partnere opleve, at de får mindre favorable samarbejdsaftaler med jer end dem, som de oprindeligt var sat i udsigt. </w:t>
      </w:r>
      <w:r w:rsidR="00D9366B">
        <w:t xml:space="preserve">I er velkomne til at kontakte </w:t>
      </w:r>
      <w:r>
        <w:t>DH</w:t>
      </w:r>
      <w:r w:rsidR="00D9366B">
        <w:t xml:space="preserve"> for rådgivning, hvis der er behov for dette.</w:t>
      </w:r>
      <w:r>
        <w:t xml:space="preserve"> </w:t>
      </w:r>
    </w:p>
    <w:p w14:paraId="26488670" w14:textId="77777777" w:rsidR="00A00B7F" w:rsidRDefault="00A00B7F" w:rsidP="00A00B7F"/>
    <w:p w14:paraId="2311E6C9" w14:textId="3CBDD46D" w:rsidR="00A00B7F" w:rsidRDefault="00823CBD" w:rsidP="00823CBD">
      <w:pPr>
        <w:pStyle w:val="Overskrift2"/>
      </w:pPr>
      <w:r>
        <w:t xml:space="preserve">Rapportering </w:t>
      </w:r>
      <w:r w:rsidR="003E2FF5">
        <w:t>på resultater</w:t>
      </w:r>
    </w:p>
    <w:p w14:paraId="0A063D3C" w14:textId="135A6458" w:rsidR="00D12F56" w:rsidRDefault="00823CBD" w:rsidP="00CC1E3D">
      <w:pPr>
        <w:rPr>
          <w:lang w:eastAsia="da-DK"/>
        </w:rPr>
      </w:pPr>
      <w:r>
        <w:rPr>
          <w:lang w:eastAsia="da-DK"/>
        </w:rPr>
        <w:t xml:space="preserve">For at kunne indfange de resultater, som er </w:t>
      </w:r>
      <w:r w:rsidR="00293828">
        <w:rPr>
          <w:lang w:eastAsia="da-DK"/>
        </w:rPr>
        <w:t xml:space="preserve">opnået </w:t>
      </w:r>
      <w:r>
        <w:rPr>
          <w:lang w:eastAsia="da-DK"/>
        </w:rPr>
        <w:t xml:space="preserve">i bevillingerne frem til skiftet til program skal den danske organisation aflevere et resultatark for hver bevilling. </w:t>
      </w:r>
      <w:r w:rsidR="00D12F56">
        <w:rPr>
          <w:lang w:eastAsia="da-DK"/>
        </w:rPr>
        <w:t>Dette resultatark skal afleveres til DH senest den 15. marts</w:t>
      </w:r>
      <w:r w:rsidR="00293828">
        <w:rPr>
          <w:lang w:eastAsia="da-DK"/>
        </w:rPr>
        <w:t xml:space="preserve"> 2025</w:t>
      </w:r>
      <w:r w:rsidR="00D12F56">
        <w:rPr>
          <w:lang w:eastAsia="da-DK"/>
        </w:rPr>
        <w:t xml:space="preserve">. Resultaterne føder ind i DHs resultatberetning til Udenrigsministeriet for 2024.  </w:t>
      </w:r>
    </w:p>
    <w:p w14:paraId="2A32BE51" w14:textId="77777777" w:rsidR="00D12F56" w:rsidRDefault="00D12F56" w:rsidP="00CC1E3D">
      <w:pPr>
        <w:rPr>
          <w:lang w:eastAsia="da-DK"/>
        </w:rPr>
      </w:pPr>
    </w:p>
    <w:p w14:paraId="5A08D824" w14:textId="73DDA08C" w:rsidR="00CC1E3D" w:rsidRDefault="00823CBD" w:rsidP="00CC1E3D">
      <w:pPr>
        <w:rPr>
          <w:b/>
          <w:bCs/>
          <w:lang w:eastAsia="da-DK"/>
        </w:rPr>
      </w:pPr>
      <w:r>
        <w:rPr>
          <w:lang w:eastAsia="da-DK"/>
        </w:rPr>
        <w:t>Formatet l</w:t>
      </w:r>
      <w:r w:rsidR="00184F72">
        <w:rPr>
          <w:lang w:eastAsia="da-DK"/>
        </w:rPr>
        <w:t>æ</w:t>
      </w:r>
      <w:r>
        <w:rPr>
          <w:lang w:eastAsia="da-DK"/>
        </w:rPr>
        <w:t>gger sig op af de gamle resultatark</w:t>
      </w:r>
      <w:r w:rsidR="00585AB4">
        <w:rPr>
          <w:lang w:eastAsia="da-DK"/>
        </w:rPr>
        <w:t xml:space="preserve">, </w:t>
      </w:r>
      <w:r>
        <w:rPr>
          <w:lang w:eastAsia="da-DK"/>
        </w:rPr>
        <w:t>som organisationerne tidligere har brugt</w:t>
      </w:r>
      <w:r w:rsidR="00585AB4">
        <w:rPr>
          <w:lang w:eastAsia="da-DK"/>
        </w:rPr>
        <w:t>,</w:t>
      </w:r>
      <w:r>
        <w:rPr>
          <w:lang w:eastAsia="da-DK"/>
        </w:rPr>
        <w:t xml:space="preserve"> og sikre</w:t>
      </w:r>
      <w:r w:rsidR="00293828">
        <w:rPr>
          <w:lang w:eastAsia="da-DK"/>
        </w:rPr>
        <w:t>r</w:t>
      </w:r>
      <w:r>
        <w:rPr>
          <w:lang w:eastAsia="da-DK"/>
        </w:rPr>
        <w:t xml:space="preserve"> at hovedresultaterne for det foregående år beskrives</w:t>
      </w:r>
      <w:r w:rsidR="00D12F56">
        <w:rPr>
          <w:lang w:eastAsia="da-DK"/>
        </w:rPr>
        <w:t xml:space="preserve">. Herudover skal organisationen kort </w:t>
      </w:r>
      <w:r w:rsidR="00CC1E3D">
        <w:t xml:space="preserve">beskrive af hvilke dele af det oprindelige projekt og budget, som inkluderes i fremtidigt program. </w:t>
      </w:r>
    </w:p>
    <w:p w14:paraId="6124F2E3" w14:textId="743B4EA9" w:rsidR="00585AB4" w:rsidRDefault="00D12F56" w:rsidP="00A00B7F">
      <w:pPr>
        <w:rPr>
          <w:lang w:eastAsia="da-DK"/>
        </w:rPr>
      </w:pPr>
      <w:r>
        <w:rPr>
          <w:lang w:eastAsia="da-DK"/>
        </w:rPr>
        <w:t>Dette resultat ark finde</w:t>
      </w:r>
      <w:r w:rsidR="00184F72">
        <w:rPr>
          <w:lang w:eastAsia="da-DK"/>
        </w:rPr>
        <w:t>s</w:t>
      </w:r>
      <w:r>
        <w:rPr>
          <w:lang w:eastAsia="da-DK"/>
        </w:rPr>
        <w:t xml:space="preserve"> på hjemmesiden for programmer.</w:t>
      </w:r>
    </w:p>
    <w:p w14:paraId="39BED2E5" w14:textId="22426111" w:rsidR="00823CBD" w:rsidRDefault="00823CBD" w:rsidP="00A00B7F">
      <w:pPr>
        <w:rPr>
          <w:lang w:eastAsia="da-DK"/>
        </w:rPr>
      </w:pPr>
    </w:p>
    <w:p w14:paraId="201F1660" w14:textId="77777777" w:rsidR="00585AB4" w:rsidRDefault="00585AB4" w:rsidP="00A00B7F">
      <w:pPr>
        <w:rPr>
          <w:b/>
          <w:bCs/>
          <w:lang w:eastAsia="da-DK"/>
        </w:rPr>
      </w:pPr>
    </w:p>
    <w:p w14:paraId="02EA20A8" w14:textId="211DF8B1" w:rsidR="00CE07BE" w:rsidRPr="003E2FF5" w:rsidRDefault="003E2FF5" w:rsidP="003E2FF5">
      <w:pPr>
        <w:pStyle w:val="Overskrift2"/>
        <w:rPr>
          <w:rStyle w:val="Overskrift1Tegn"/>
          <w:sz w:val="32"/>
          <w:szCs w:val="32"/>
        </w:rPr>
      </w:pPr>
      <w:r>
        <w:rPr>
          <w:rStyle w:val="Overskrift1Tegn"/>
          <w:sz w:val="32"/>
          <w:szCs w:val="32"/>
        </w:rPr>
        <w:t xml:space="preserve">Finansiel rapportering </w:t>
      </w:r>
    </w:p>
    <w:p w14:paraId="386D6669" w14:textId="265386BB" w:rsidR="00CC1E3D" w:rsidRDefault="00FC507E" w:rsidP="00CE07BE">
      <w:r>
        <w:t>Forudsat at godkendelse fra UM foreligger afsluttes bevillingerne i Q1</w:t>
      </w:r>
      <w:r w:rsidR="00CC1E3D">
        <w:t xml:space="preserve"> og erstattes af den nye programaftale.</w:t>
      </w:r>
      <w:r w:rsidR="00D12F56">
        <w:t xml:space="preserve"> For de bevillinger, som d</w:t>
      </w:r>
      <w:r w:rsidR="00CC1E3D">
        <w:t xml:space="preserve">er </w:t>
      </w:r>
      <w:r w:rsidR="00D12F56">
        <w:t xml:space="preserve">føres videre under programmet, </w:t>
      </w:r>
      <w:r w:rsidR="00CC1E3D">
        <w:t>skal</w:t>
      </w:r>
      <w:r w:rsidR="00D12F56">
        <w:t xml:space="preserve"> der</w:t>
      </w:r>
      <w:r w:rsidR="00275942">
        <w:t xml:space="preserve"> per</w:t>
      </w:r>
      <w:r w:rsidR="00D12F56">
        <w:t xml:space="preserve"> </w:t>
      </w:r>
      <w:r w:rsidR="00275942">
        <w:rPr>
          <w:lang w:eastAsia="da-DK"/>
        </w:rPr>
        <w:t>15. marts 2025</w:t>
      </w:r>
      <w:r w:rsidR="005C1529">
        <w:rPr>
          <w:lang w:eastAsia="da-DK"/>
        </w:rPr>
        <w:t xml:space="preserve"> </w:t>
      </w:r>
      <w:r w:rsidR="00D12F56">
        <w:t xml:space="preserve">afleveres </w:t>
      </w:r>
      <w:r w:rsidR="00CC1E3D">
        <w:t>et afsluttende revideret regnskab.</w:t>
      </w:r>
    </w:p>
    <w:p w14:paraId="6314AC9E" w14:textId="2ACA92C5" w:rsidR="00CC1E3D" w:rsidRDefault="00CC1E3D" w:rsidP="00CE07BE">
      <w:r>
        <w:lastRenderedPageBreak/>
        <w:t xml:space="preserve"> </w:t>
      </w:r>
    </w:p>
    <w:p w14:paraId="548E8CEB" w14:textId="7AA2DA8C" w:rsidR="00CC1E3D" w:rsidRDefault="00CC1E3D" w:rsidP="003E2FF5">
      <w:r>
        <w:t xml:space="preserve">Den danske organisation kan vælge om det skal laves som én samlet, revideret regnskabspakke med specifikation pr. bevilling. </w:t>
      </w:r>
      <w:r w:rsidR="00275942">
        <w:t>Som regnskabsberetning (en per projekt) kan anvendes</w:t>
      </w:r>
      <w:r w:rsidR="00EF7B99">
        <w:t xml:space="preserve"> resume</w:t>
      </w:r>
      <w:r w:rsidR="00275942">
        <w:t xml:space="preserve"> eller fuldt resultatark. </w:t>
      </w:r>
    </w:p>
    <w:p w14:paraId="30208FC8" w14:textId="77777777" w:rsidR="00CC1E3D" w:rsidRDefault="00CC1E3D" w:rsidP="003E2FF5"/>
    <w:p w14:paraId="0D1F8FF8" w14:textId="3B6576F6" w:rsidR="00666782" w:rsidRDefault="002E692F" w:rsidP="00666782">
      <w:r>
        <w:t xml:space="preserve">Restbeholdningen hos den danske organisation </w:t>
      </w:r>
      <w:r w:rsidR="00275942">
        <w:t xml:space="preserve">for de projekter, som er afsluttet 31.12.24 </w:t>
      </w:r>
      <w:r>
        <w:t xml:space="preserve">tilbageføres </w:t>
      </w:r>
      <w:r w:rsidR="00666782">
        <w:t xml:space="preserve">til DH. </w:t>
      </w:r>
      <w:r>
        <w:t xml:space="preserve">Bevillingen afsluttes og de øvrige midler som er hensat hos DH tilbageføre Handicappuljen for i stedet at indgå som en del af </w:t>
      </w:r>
      <w:r w:rsidR="00666782">
        <w:t xml:space="preserve">program-aftalen. </w:t>
      </w:r>
    </w:p>
    <w:p w14:paraId="2D938C48" w14:textId="77777777" w:rsidR="00666782" w:rsidRDefault="00666782" w:rsidP="00666782"/>
    <w:p w14:paraId="32C8E517" w14:textId="02EF0D40" w:rsidR="002E692F" w:rsidRDefault="002E692F" w:rsidP="002E692F">
      <w:pPr>
        <w:pStyle w:val="Overskrift3"/>
      </w:pPr>
      <w:r>
        <w:t xml:space="preserve">Budget 2024. </w:t>
      </w:r>
    </w:p>
    <w:p w14:paraId="5F83B033" w14:textId="3057BAB7" w:rsidR="002E692F" w:rsidRDefault="002E692F" w:rsidP="00666782">
      <w:r>
        <w:t xml:space="preserve">Den danske organisation skal </w:t>
      </w:r>
      <w:r w:rsidR="00275942">
        <w:t xml:space="preserve">fremsende en oversigt som viser projektforbrug per 31.12.23, samt forventet forbrug for 2024 inden </w:t>
      </w:r>
      <w:r>
        <w:t xml:space="preserve">1. juni 2024.  </w:t>
      </w:r>
    </w:p>
    <w:p w14:paraId="243AC4E8" w14:textId="77777777" w:rsidR="002E692F" w:rsidRDefault="002E692F" w:rsidP="00666782"/>
    <w:p w14:paraId="161F6830" w14:textId="111C55D3" w:rsidR="002E692F" w:rsidRDefault="002E692F" w:rsidP="002E692F">
      <w:pPr>
        <w:rPr>
          <w:lang w:eastAsia="da-DK"/>
        </w:rPr>
      </w:pPr>
      <w:r>
        <w:rPr>
          <w:lang w:eastAsia="da-DK"/>
        </w:rPr>
        <w:t>Budgetrammen for programmerne er mulig, fordi hensættelser fra eksisterende projektaktiviteter indgår som en del at programbevillingen. Det er derfor muligt at lave budgetrevisioner i igangværende bevillinger for 2024, men det er ikke muligt at øge bevillingens årsbudget for 2024 til mere end det, I allerede har budgetteret med</w:t>
      </w:r>
      <w:r w:rsidR="00781FB6">
        <w:rPr>
          <w:lang w:eastAsia="da-DK"/>
        </w:rPr>
        <w:t xml:space="preserve"> </w:t>
      </w:r>
      <w:r>
        <w:rPr>
          <w:lang w:eastAsia="da-DK"/>
        </w:rPr>
        <w:t xml:space="preserve">er det forventede forbrug for 2024. </w:t>
      </w:r>
    </w:p>
    <w:p w14:paraId="00DA9B62" w14:textId="27BADFE7" w:rsidR="00537658" w:rsidRDefault="00537658" w:rsidP="002E692F">
      <w:pPr>
        <w:rPr>
          <w:lang w:eastAsia="da-DK"/>
        </w:rPr>
      </w:pPr>
      <w:r>
        <w:rPr>
          <w:lang w:eastAsia="da-DK"/>
        </w:rPr>
        <w:t xml:space="preserve">Ubrugt beholdning per 31.12.24 hos sydpartner må ikke være uforholdsmæssig høj og bør ikke udgøre mere end et kvartals forbrug. </w:t>
      </w:r>
    </w:p>
    <w:p w14:paraId="0CB7F2EA" w14:textId="77777777" w:rsidR="002E692F" w:rsidRDefault="002E692F" w:rsidP="00666782"/>
    <w:p w14:paraId="39F3EF79" w14:textId="7D0EFCD9" w:rsidR="001E0834" w:rsidRPr="00D9366B" w:rsidRDefault="00293828" w:rsidP="00CE07BE">
      <w:r w:rsidRPr="00D9366B">
        <w:t xml:space="preserve">Udgangspunktet for godkendelserne af de reviderede budgetter vil således </w:t>
      </w:r>
      <w:r w:rsidR="00275942">
        <w:t>vise, hvor langt implementeringen af det enkelte projekt er nået (færdiggørelsesgraden)</w:t>
      </w:r>
      <w:r w:rsidR="001E0834" w:rsidRPr="00D9366B">
        <w:t xml:space="preserve">. Det reviderede budget skal gerne reflektere denne </w:t>
      </w:r>
      <w:r w:rsidR="00275942">
        <w:t>færdiggørelsesgrad</w:t>
      </w:r>
      <w:r w:rsidR="001E0834" w:rsidRPr="00D9366B">
        <w:t xml:space="preserve">. DH kan i enkelte tilfælde godkende afvigelser fra </w:t>
      </w:r>
      <w:r w:rsidR="00275942">
        <w:t>den oprindelige finansieringsplan</w:t>
      </w:r>
      <w:r w:rsidR="001E0834" w:rsidRPr="00D9366B">
        <w:t>, men hver organisation skal samlet set gerne ramme det forventede forbrug for 2024.</w:t>
      </w:r>
    </w:p>
    <w:p w14:paraId="16E7BA56" w14:textId="77777777" w:rsidR="00CE07BE" w:rsidRDefault="00CE07BE" w:rsidP="00CE07BE"/>
    <w:p w14:paraId="52E433CE" w14:textId="6846295D" w:rsidR="00CE07BE" w:rsidRDefault="00CE07BE" w:rsidP="00CE07BE"/>
    <w:p w14:paraId="4DA57368" w14:textId="77777777" w:rsidR="00B76939" w:rsidRDefault="00B76939" w:rsidP="00B76939">
      <w:pPr>
        <w:pStyle w:val="Overskrift2"/>
      </w:pPr>
      <w:r>
        <w:t xml:space="preserve">Planlagte evalueringer og reviews af eksisterende projekter </w:t>
      </w:r>
    </w:p>
    <w:p w14:paraId="5F494CB9" w14:textId="77777777" w:rsidR="00B76939" w:rsidRDefault="00B76939" w:rsidP="00B76939">
      <w:r>
        <w:t xml:space="preserve">I de eksisterende projekter vil der være planlagte midtvejsreviews og afsluttende evalueringer. I overgangen skal I som udgangspunkt gennemføre reviews og evalueringer, som er meningsfulde for det videre arbejde. I er ligeledes velkomne til at tilpasse tidsplanen så review/evalueringerne hvis det betyder at de bedre kan føde ind i eksempelvis programprocessen. </w:t>
      </w:r>
    </w:p>
    <w:p w14:paraId="1A113D49" w14:textId="77777777" w:rsidR="00B76939" w:rsidRDefault="00B76939" w:rsidP="00B76939"/>
    <w:p w14:paraId="2268D876" w14:textId="77777777" w:rsidR="00B76939" w:rsidRDefault="00B76939" w:rsidP="00B76939">
      <w:r>
        <w:t xml:space="preserve">For projekter bevillinger, som afsluttes indenfor Q1 af 2025 opretholdes de eksisterende krav om review/ evaluering. </w:t>
      </w:r>
    </w:p>
    <w:p w14:paraId="17A45961" w14:textId="77777777" w:rsidR="00CE07BE" w:rsidRDefault="00CE07BE" w:rsidP="00CE07BE"/>
    <w:p w14:paraId="1705952A" w14:textId="77777777" w:rsidR="00CE07BE" w:rsidRDefault="00CE07BE" w:rsidP="00CE07BE"/>
    <w:p w14:paraId="24B6B664" w14:textId="2037837D" w:rsidR="003E2FF5" w:rsidRDefault="003E2FF5" w:rsidP="003E2FF5">
      <w:pPr>
        <w:pStyle w:val="Overskrift1"/>
        <w:rPr>
          <w:lang w:eastAsia="da-DK"/>
        </w:rPr>
      </w:pPr>
      <w:bookmarkStart w:id="0" w:name="_Hlk157611882"/>
      <w:r>
        <w:rPr>
          <w:lang w:eastAsia="da-DK"/>
        </w:rPr>
        <w:t>Igangværende partnerskaber, som ikke skal indgå i program-ansøgningen</w:t>
      </w:r>
    </w:p>
    <w:p w14:paraId="107FDA3F" w14:textId="77777777" w:rsidR="003E2FF5" w:rsidRDefault="003E2FF5" w:rsidP="003E2FF5">
      <w:pPr>
        <w:spacing w:after="300"/>
        <w:rPr>
          <w:i/>
          <w:iCs/>
          <w:lang w:eastAsia="da-DK"/>
        </w:rPr>
      </w:pPr>
      <w:r>
        <w:rPr>
          <w:i/>
          <w:iCs/>
          <w:lang w:eastAsia="da-DK"/>
        </w:rPr>
        <w:t xml:space="preserve">I kan selv vælges, hvilke partnere som tages med i programmet og hvilke, som udfases ved siden af. </w:t>
      </w:r>
    </w:p>
    <w:p w14:paraId="3978E378" w14:textId="2C365B42" w:rsidR="003E2FF5" w:rsidRDefault="003E2FF5" w:rsidP="002E692F">
      <w:pPr>
        <w:rPr>
          <w:rFonts w:eastAsia="Times New Roman" w:cstheme="minorHAnsi"/>
          <w:kern w:val="0"/>
          <w:lang w:eastAsia="da-DK"/>
          <w14:ligatures w14:val="none"/>
        </w:rPr>
      </w:pPr>
      <w:r>
        <w:t xml:space="preserve">Det ikke nødvendigvis alle projektpartnerskaber, som tænkes ind som en del af programmet. Hvis I mener det er en fordel for jer og jeres partnere, at udfasning af et eksisterende projektpartnerskab sker separat fra programbevillingen, kan I aftale dette med DH. I disse tilfælde vil de kontraktlige forpligtelser fortsætte på eksisterende grundlag frem til bevillingens ophør. </w:t>
      </w:r>
      <w:r>
        <w:rPr>
          <w:rFonts w:eastAsia="Times New Roman" w:cstheme="minorHAnsi"/>
          <w:kern w:val="0"/>
          <w:lang w:eastAsia="da-DK"/>
          <w14:ligatures w14:val="none"/>
        </w:rPr>
        <w:t xml:space="preserve">Ønsker I at gøre brug af dette, er det vigtigt, at I gør DH </w:t>
      </w:r>
      <w:r>
        <w:rPr>
          <w:rFonts w:eastAsia="Times New Roman" w:cstheme="minorHAnsi"/>
          <w:kern w:val="0"/>
          <w:lang w:eastAsia="da-DK"/>
          <w14:ligatures w14:val="none"/>
        </w:rPr>
        <w:lastRenderedPageBreak/>
        <w:t>opmærksom på, hvilke bevillinger dette drejer sig om i god tid inden 15. september, da beløbet som er hensat til disse projekter skal fraregnes organisationens årlige program-budgetramme i de gældende år.</w:t>
      </w:r>
    </w:p>
    <w:p w14:paraId="564B105A" w14:textId="1CAFAA79" w:rsidR="002E692F" w:rsidRDefault="002E692F" w:rsidP="002E692F">
      <w:pPr>
        <w:rPr>
          <w:rFonts w:eastAsia="Times New Roman" w:cstheme="minorHAnsi"/>
          <w:kern w:val="0"/>
          <w:lang w:eastAsia="da-DK"/>
          <w14:ligatures w14:val="none"/>
        </w:rPr>
      </w:pPr>
    </w:p>
    <w:bookmarkEnd w:id="0"/>
    <w:p w14:paraId="12271949" w14:textId="07500358" w:rsidR="003E2FF5" w:rsidRDefault="002E692F" w:rsidP="00462747">
      <w:r>
        <w:t>Den f</w:t>
      </w:r>
      <w:r w:rsidR="003E2FF5">
        <w:t>inansiel</w:t>
      </w:r>
      <w:r>
        <w:t xml:space="preserve">le </w:t>
      </w:r>
      <w:r w:rsidR="003E2FF5">
        <w:t>afrapportering</w:t>
      </w:r>
      <w:r>
        <w:t xml:space="preserve"> afleveres</w:t>
      </w:r>
      <w:r w:rsidR="00462747">
        <w:t xml:space="preserve"> i tråd med den eksisterende </w:t>
      </w:r>
      <w:r w:rsidR="003E2FF5">
        <w:t>praksis.</w:t>
      </w:r>
    </w:p>
    <w:p w14:paraId="0101BC99" w14:textId="1A2B9975" w:rsidR="003E2FF5" w:rsidRDefault="005E609F" w:rsidP="003E2FF5">
      <w:pPr>
        <w:pStyle w:val="Listeafsnit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D6A7D" wp14:editId="15AAEB82">
                <wp:simplePos x="0" y="0"/>
                <wp:positionH relativeFrom="margin">
                  <wp:align>right</wp:align>
                </wp:positionH>
                <wp:positionV relativeFrom="paragraph">
                  <wp:posOffset>127250</wp:posOffset>
                </wp:positionV>
                <wp:extent cx="3688715" cy="1404620"/>
                <wp:effectExtent l="0" t="0" r="26035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B8BD" w14:textId="09CE6DA8" w:rsidR="005D7769" w:rsidRPr="005D7769" w:rsidRDefault="005D7769" w:rsidP="005D77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D7769">
                              <w:rPr>
                                <w:b/>
                                <w:bCs/>
                              </w:rPr>
                              <w:t xml:space="preserve">Kort fortalt: </w:t>
                            </w:r>
                          </w:p>
                          <w:p w14:paraId="6529BF5B" w14:textId="77777777" w:rsidR="005D7769" w:rsidRDefault="005D7769" w:rsidP="005D7769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Udbetalinger kører som planlagt i projektets levetid. De udbetalinger, som er planlagt efter 31.12.24 indgår som en del af den samlede årlige bevilling til organisationen. </w:t>
                            </w:r>
                          </w:p>
                          <w:p w14:paraId="0D9EF063" w14:textId="77777777" w:rsidR="005D7769" w:rsidRDefault="005D7769" w:rsidP="005D7769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lang w:eastAsia="da-DK"/>
                              </w:rPr>
                              <w:t>Ubrugt beholdning per 31.12.24 hos sydpartner må ikke være uforholdsmæssig høj og bør ikke udgøre mere end et kvartals forbrug.</w:t>
                            </w:r>
                          </w:p>
                          <w:p w14:paraId="399239FC" w14:textId="43ADF808" w:rsidR="005D7769" w:rsidRDefault="005D7769" w:rsidP="005D7769">
                            <w:pPr>
                              <w:pStyle w:val="Listeafsnit"/>
                            </w:pPr>
                            <w:r>
                              <w:t>Ubrugt restbeholdning 31/12-2024 hos MO</w:t>
                            </w:r>
                            <w:r w:rsidR="005E609F">
                              <w:t xml:space="preserve"> </w:t>
                            </w:r>
                            <w:r>
                              <w:t>indregnes i 2025-tildeling.</w:t>
                            </w:r>
                          </w:p>
                          <w:p w14:paraId="49326288" w14:textId="1F4F202E" w:rsidR="005D7769" w:rsidRDefault="005D7769" w:rsidP="005D7769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Rapportering: Der rapporteres i henhold til ’gamle’ retningslinjer i efteråret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D6A7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39.25pt;margin-top:10pt;width:290.4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ZiNAIAAF4EAAAOAAAAZHJzL2Uyb0RvYy54bWysVNuO2yAQfa/Uf0C8N3bSJJu14qy22aaq&#10;tL1I234AxjhGBYYCiZ1+fQfsZLPtW9UXBAM+M3POGa/veq3IUTgvwZR0OskpEYZDLc2+pN+/7d6s&#10;KPGBmZopMKKkJ+Hp3eb1q3VnCzGDFlQtHEEQ44vOlrQNwRZZ5nkrNPMTsMLgZQNOs4BHt89qxzpE&#10;1yqb5fky68DV1gEX3mP0Ybikm4TfNIKHL03jRSCqpFhbSKtLaxXXbLNmxd4x20o+lsH+oQrNpMGk&#10;F6gHFhg5OPkXlJbcgYcmTDjoDJpGcpF6wG6m+R/dPLXMitQLkuPthSb//2D55+OT/epI6N9BjwKm&#10;Jrx9BP7DEwPblpm9uHcOulawGhNPI2VZZ30xfhqp9oWPIFX3CWoUmR0CJKC+cTqygn0SREcBThfS&#10;RR8Ix+Db5Wp1M11QwvFuOs/ny1mSJWPF+XPrfPggQJO4KalDVRM8Oz76EMthxflJzOZByXonlUqH&#10;6CSxVY4cGXqAcS5MGNpUB431DnH0Uj66AcPomSG8OocxRfJkREoJXyRRhnQlvV3MFgN/Lwpw++qS&#10;PsINeSLg9TMtAw6CkrqkKelYTGT9vamTTQOTatjjx8qMMkTmBw1CX/X4MMpRQX1CQRwMhscBxU0L&#10;7hclHZq9pP7ngTlBifpoUNTb6XwepyMd5osbVIC465vq+oYZjlAlDZQM221IE5Xotvco/k4mWZ4r&#10;GWtFEyfyxoGLU3J9Tq+efwub3wAAAP//AwBQSwMEFAAGAAgAAAAhAEoJA7rcAAAABwEAAA8AAABk&#10;cnMvZG93bnJldi54bWxMj8FOwzAQRO9I/IO1SNyo0whoCNlUgFRxRA2Vqt6ceEkC8TqK3Tb8PcsJ&#10;jrOzmnlTrGc3qBNNofeMsFwkoIgbb3tuEXbvm5sMVIiGrRk8E8I3BViXlxeFya0/85ZOVWyVhHDI&#10;DUIX45hrHZqOnAkLPxKL9+EnZ6LIqdV2MmcJd4NOk+ReO9OzNHRmpJeOmq/q6BC2+2qzy17f+tXn&#10;vk314VC753mFeH01Pz2CijTHv2f4xRd0KIWp9ke2QQ0IMiQiSAcoce+y5AFULYfbZQq6LPR//vIH&#10;AAD//wMAUEsBAi0AFAAGAAgAAAAhALaDOJL+AAAA4QEAABMAAAAAAAAAAAAAAAAAAAAAAFtDb250&#10;ZW50X1R5cGVzXS54bWxQSwECLQAUAAYACAAAACEAOP0h/9YAAACUAQAACwAAAAAAAAAAAAAAAAAv&#10;AQAAX3JlbHMvLnJlbHNQSwECLQAUAAYACAAAACEAE7+WYjQCAABeBAAADgAAAAAAAAAAAAAAAAAu&#10;AgAAZHJzL2Uyb0RvYy54bWxQSwECLQAUAAYACAAAACEASgkDutwAAAAHAQAADwAAAAAAAAAAAAAA&#10;AACOBAAAZHJzL2Rvd25yZXYueG1sUEsFBgAAAAAEAAQA8wAAAJcFAAAAAA==&#10;" fillcolor="#deeaf6 [660]">
                <v:textbox style="mso-fit-shape-to-text:t">
                  <w:txbxContent>
                    <w:p w14:paraId="76ECB8BD" w14:textId="09CE6DA8" w:rsidR="005D7769" w:rsidRPr="005D7769" w:rsidRDefault="005D7769" w:rsidP="005D7769">
                      <w:pPr>
                        <w:rPr>
                          <w:b/>
                          <w:bCs/>
                        </w:rPr>
                      </w:pPr>
                      <w:r w:rsidRPr="005D7769">
                        <w:rPr>
                          <w:b/>
                          <w:bCs/>
                        </w:rPr>
                        <w:t xml:space="preserve">Kort fortalt: </w:t>
                      </w:r>
                    </w:p>
                    <w:p w14:paraId="6529BF5B" w14:textId="77777777" w:rsidR="005D7769" w:rsidRDefault="005D7769" w:rsidP="005D7769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 xml:space="preserve">Udbetalinger kører som planlagt i projektets levetid. De udbetalinger, som er planlagt efter 31.12.24 indgår som en del af den samlede årlige bevilling til organisationen. </w:t>
                      </w:r>
                    </w:p>
                    <w:p w14:paraId="0D9EF063" w14:textId="77777777" w:rsidR="005D7769" w:rsidRDefault="005D7769" w:rsidP="005D7769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lang w:eastAsia="da-DK"/>
                        </w:rPr>
                        <w:t xml:space="preserve">Ubrugt beholdning per 31.12.24 hos </w:t>
                      </w:r>
                      <w:proofErr w:type="spellStart"/>
                      <w:r>
                        <w:rPr>
                          <w:lang w:eastAsia="da-DK"/>
                        </w:rPr>
                        <w:t>sydpartner</w:t>
                      </w:r>
                      <w:proofErr w:type="spellEnd"/>
                      <w:r>
                        <w:rPr>
                          <w:lang w:eastAsia="da-DK"/>
                        </w:rPr>
                        <w:t xml:space="preserve"> må ikke være uforholdsmæssig høj og bør ikke udgøre mere end et kvartals forbrug.</w:t>
                      </w:r>
                    </w:p>
                    <w:p w14:paraId="399239FC" w14:textId="43ADF808" w:rsidR="005D7769" w:rsidRDefault="005D7769" w:rsidP="005D7769">
                      <w:pPr>
                        <w:pStyle w:val="Listeafsnit"/>
                      </w:pPr>
                      <w:r>
                        <w:t>Ubrugt restbeholdning 31/12-2024 hos MO</w:t>
                      </w:r>
                      <w:r w:rsidR="005E609F">
                        <w:t xml:space="preserve"> </w:t>
                      </w:r>
                      <w:r>
                        <w:t>indregnes i 2025-tildeling.</w:t>
                      </w:r>
                    </w:p>
                    <w:p w14:paraId="49326288" w14:textId="1F4F202E" w:rsidR="005D7769" w:rsidRDefault="005D7769" w:rsidP="005D7769">
                      <w:pPr>
                        <w:pStyle w:val="Listeafsnit"/>
                        <w:numPr>
                          <w:ilvl w:val="0"/>
                          <w:numId w:val="6"/>
                        </w:numPr>
                      </w:pPr>
                      <w:r>
                        <w:t>Rapportering: Der rapporteres i henhold til ’gamle’ retningslinjer i efteråret 2025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ACDA1A" w14:textId="117803A1" w:rsidR="003E2FF5" w:rsidRDefault="003E2FF5" w:rsidP="00462747">
      <w:r>
        <w:t>Projekt</w:t>
      </w:r>
      <w:r w:rsidR="00462747">
        <w:t xml:space="preserve">er som er udenfor programaftalen </w:t>
      </w:r>
      <w:r>
        <w:t xml:space="preserve">indgår i </w:t>
      </w:r>
      <w:r w:rsidR="00462747">
        <w:t xml:space="preserve">budgetrammen som er givet til den enkelte programorganisation. </w:t>
      </w:r>
      <w:r>
        <w:t>Er der ikke-udbetalte midler på det enkelte projekt hos MO eller DH ved indgangen til programperioden, vil dette beløb blive medregnet ved opgørelsen af programtildelingen for det enkelte år.</w:t>
      </w:r>
    </w:p>
    <w:p w14:paraId="1437EAD8" w14:textId="4292AE76" w:rsidR="003E2FF5" w:rsidRDefault="003E2FF5" w:rsidP="003E2FF5">
      <w:pPr>
        <w:pStyle w:val="Listeafsnit"/>
      </w:pPr>
    </w:p>
    <w:p w14:paraId="4FECA5EE" w14:textId="77777777" w:rsidR="00D611C0" w:rsidRDefault="00D611C0"/>
    <w:p w14:paraId="4671D1CB" w14:textId="524D4214" w:rsidR="00537658" w:rsidRDefault="00537658" w:rsidP="00537658">
      <w:pPr>
        <w:rPr>
          <w:lang w:eastAsia="da-DK"/>
        </w:rPr>
      </w:pPr>
    </w:p>
    <w:p w14:paraId="4981365A" w14:textId="50B1A89D" w:rsidR="00537658" w:rsidRDefault="00537658"/>
    <w:sectPr w:rsidR="005376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F6"/>
    <w:multiLevelType w:val="hybridMultilevel"/>
    <w:tmpl w:val="12D83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475A"/>
    <w:multiLevelType w:val="hybridMultilevel"/>
    <w:tmpl w:val="C6FA0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D73B4"/>
    <w:multiLevelType w:val="hybridMultilevel"/>
    <w:tmpl w:val="3FF4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3171"/>
    <w:multiLevelType w:val="hybridMultilevel"/>
    <w:tmpl w:val="5F84E85A"/>
    <w:lvl w:ilvl="0" w:tplc="891443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C2A60DB"/>
    <w:multiLevelType w:val="hybridMultilevel"/>
    <w:tmpl w:val="0A3E3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996924">
    <w:abstractNumId w:val="3"/>
  </w:num>
  <w:num w:numId="2" w16cid:durableId="1995798557">
    <w:abstractNumId w:val="3"/>
  </w:num>
  <w:num w:numId="3" w16cid:durableId="924417438">
    <w:abstractNumId w:val="4"/>
  </w:num>
  <w:num w:numId="4" w16cid:durableId="568806379">
    <w:abstractNumId w:val="1"/>
  </w:num>
  <w:num w:numId="5" w16cid:durableId="1776561927">
    <w:abstractNumId w:val="2"/>
  </w:num>
  <w:num w:numId="6" w16cid:durableId="58649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BE"/>
    <w:rsid w:val="000A47FA"/>
    <w:rsid w:val="00184F72"/>
    <w:rsid w:val="001E0834"/>
    <w:rsid w:val="00275942"/>
    <w:rsid w:val="002869D1"/>
    <w:rsid w:val="00293828"/>
    <w:rsid w:val="002E692F"/>
    <w:rsid w:val="003E2FF5"/>
    <w:rsid w:val="004250AA"/>
    <w:rsid w:val="00462747"/>
    <w:rsid w:val="005024F1"/>
    <w:rsid w:val="00537658"/>
    <w:rsid w:val="00585AB4"/>
    <w:rsid w:val="005C1529"/>
    <w:rsid w:val="005D7769"/>
    <w:rsid w:val="005E609F"/>
    <w:rsid w:val="00666782"/>
    <w:rsid w:val="00781FB6"/>
    <w:rsid w:val="00823CBD"/>
    <w:rsid w:val="009E3C0E"/>
    <w:rsid w:val="00A00B7F"/>
    <w:rsid w:val="00A356A9"/>
    <w:rsid w:val="00AC1EA9"/>
    <w:rsid w:val="00B52235"/>
    <w:rsid w:val="00B76939"/>
    <w:rsid w:val="00C72CD1"/>
    <w:rsid w:val="00CC1E3D"/>
    <w:rsid w:val="00CE07BE"/>
    <w:rsid w:val="00D12F56"/>
    <w:rsid w:val="00D611C0"/>
    <w:rsid w:val="00D9366B"/>
    <w:rsid w:val="00DF0915"/>
    <w:rsid w:val="00E3306B"/>
    <w:rsid w:val="00EA03D7"/>
    <w:rsid w:val="00EF7B99"/>
    <w:rsid w:val="00FC507E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2E87"/>
  <w15:chartTrackingRefBased/>
  <w15:docId w15:val="{8E0BC6B1-7524-41C5-81B8-C39E2618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658"/>
    <w:pPr>
      <w:spacing w:after="0" w:line="240" w:lineRule="auto"/>
    </w:pPr>
    <w:rPr>
      <w:kern w:val="2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0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0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07B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0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07B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07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07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07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07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07B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07B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E07BE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E07BE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E07B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E07B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E07B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E07B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E07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0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0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0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E0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E07B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E07B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E07BE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E07B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E07BE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E07BE"/>
    <w:rPr>
      <w:b/>
      <w:bCs/>
      <w:smallCaps/>
      <w:color w:val="2E74B5" w:themeColor="accent1" w:themeShade="BF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69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69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692F"/>
    <w:rPr>
      <w:kern w:val="2"/>
      <w:sz w:val="20"/>
      <w:szCs w:val="20"/>
      <w14:ligatures w14:val="standardContextu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69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692F"/>
    <w:rPr>
      <w:b/>
      <w:bCs/>
      <w:kern w:val="2"/>
      <w:sz w:val="20"/>
      <w:szCs w:val="20"/>
      <w14:ligatures w14:val="standardContextual"/>
    </w:rPr>
  </w:style>
  <w:style w:type="paragraph" w:styleId="Korrektur">
    <w:name w:val="Revision"/>
    <w:hidden/>
    <w:uiPriority w:val="99"/>
    <w:semiHidden/>
    <w:rsid w:val="0029382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Rath</dc:creator>
  <cp:keywords/>
  <dc:description/>
  <cp:lastModifiedBy>Anne Sophie Fabricius</cp:lastModifiedBy>
  <cp:revision>3</cp:revision>
  <dcterms:created xsi:type="dcterms:W3CDTF">2024-03-14T10:10:00Z</dcterms:created>
  <dcterms:modified xsi:type="dcterms:W3CDTF">2024-03-14T10:10:00Z</dcterms:modified>
</cp:coreProperties>
</file>