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40" w:rsidRPr="00A860A6" w:rsidRDefault="00C24940">
      <w:pPr>
        <w:rPr>
          <w:rFonts w:ascii="Open Sans Light" w:hAnsi="Open Sans Light" w:cs="Open Sans Light"/>
          <w:b/>
          <w:sz w:val="26"/>
          <w:szCs w:val="26"/>
        </w:rPr>
      </w:pPr>
      <w:r w:rsidRPr="00A860A6">
        <w:rPr>
          <w:rFonts w:ascii="Open Sans Light" w:hAnsi="Open Sans Light" w:cs="Open Sans Light"/>
          <w:b/>
          <w:sz w:val="26"/>
          <w:szCs w:val="26"/>
        </w:rPr>
        <w:t>Tjekliste for finansiel monitorering</w:t>
      </w:r>
    </w:p>
    <w:p w:rsidR="00C24940" w:rsidRPr="00A860A6" w:rsidRDefault="00C24940">
      <w:pPr>
        <w:rPr>
          <w:rFonts w:ascii="Open Sans Light" w:hAnsi="Open Sans Light" w:cs="Open Sans Light"/>
          <w:szCs w:val="22"/>
        </w:rPr>
      </w:pPr>
    </w:p>
    <w:p w:rsidR="00C24940" w:rsidRPr="00A860A6" w:rsidRDefault="00C24940" w:rsidP="00C24940">
      <w:pPr>
        <w:rPr>
          <w:rFonts w:ascii="Open Sans Light" w:hAnsi="Open Sans Light" w:cs="Open Sans Light"/>
          <w:szCs w:val="22"/>
        </w:rPr>
      </w:pPr>
      <w:r w:rsidRPr="00A860A6">
        <w:rPr>
          <w:rFonts w:ascii="Open Sans Light" w:hAnsi="Open Sans Light" w:cs="Open Sans Light"/>
          <w:szCs w:val="22"/>
        </w:rPr>
        <w:t xml:space="preserve">En egentlig vejledning til en finansiel monitorering er vanskelig at give, da forholdene hos de forskellige organisationer ikke vil være identiske. Nedenstående punkter er emner, som bør overvejes, når I gennemfører finansielt tilsyn. </w:t>
      </w:r>
    </w:p>
    <w:p w:rsidR="00C24940" w:rsidRPr="00A860A6" w:rsidRDefault="00C24940" w:rsidP="00C24940">
      <w:pPr>
        <w:rPr>
          <w:rFonts w:ascii="Open Sans Light" w:hAnsi="Open Sans Light" w:cs="Open Sans Light"/>
          <w:szCs w:val="22"/>
        </w:rPr>
      </w:pPr>
    </w:p>
    <w:p w:rsidR="00C24940" w:rsidRPr="00A860A6" w:rsidRDefault="00C24940" w:rsidP="00C24940">
      <w:pPr>
        <w:rPr>
          <w:rFonts w:ascii="Open Sans Light" w:hAnsi="Open Sans Light" w:cs="Open Sans Light"/>
          <w:color w:val="000000"/>
          <w:szCs w:val="22"/>
        </w:rPr>
      </w:pPr>
      <w:r w:rsidRPr="00A860A6">
        <w:rPr>
          <w:rFonts w:ascii="Open Sans Light" w:hAnsi="Open Sans Light" w:cs="Open Sans Light"/>
          <w:color w:val="000000"/>
          <w:szCs w:val="22"/>
        </w:rPr>
        <w:t>Inddrag gerne både projektmedarbejdere og regnskabsmed</w:t>
      </w:r>
      <w:r w:rsidRPr="00A860A6">
        <w:rPr>
          <w:rFonts w:ascii="Open Sans Light" w:hAnsi="Open Sans Light" w:cs="Open Sans Light"/>
          <w:color w:val="000000"/>
          <w:szCs w:val="22"/>
        </w:rPr>
        <w:softHyphen/>
        <w:t>arbejdere til gennemgangen af økonomien. L</w:t>
      </w:r>
      <w:r w:rsidRPr="00A860A6">
        <w:rPr>
          <w:rFonts w:ascii="Open Sans Light" w:hAnsi="Open Sans Light" w:cs="Open Sans Light"/>
          <w:szCs w:val="22"/>
        </w:rPr>
        <w:t>æs mere i Håndbog for projekt- og økonomistyring, afsnit 3.4.</w:t>
      </w:r>
    </w:p>
    <w:p w:rsidR="00C24940" w:rsidRPr="00A860A6" w:rsidRDefault="00C24940" w:rsidP="00C24940">
      <w:pPr>
        <w:rPr>
          <w:rFonts w:ascii="Open Sans Light" w:hAnsi="Open Sans Light" w:cs="Open Sans Light"/>
          <w:szCs w:val="22"/>
        </w:rPr>
      </w:pPr>
    </w:p>
    <w:tbl>
      <w:tblPr>
        <w:tblStyle w:val="Tabel-Gitter"/>
        <w:tblW w:w="9640" w:type="dxa"/>
        <w:tblInd w:w="108" w:type="dxa"/>
        <w:tblLook w:val="04A0" w:firstRow="1" w:lastRow="0" w:firstColumn="1" w:lastColumn="0" w:noHBand="0" w:noVBand="1"/>
      </w:tblPr>
      <w:tblGrid>
        <w:gridCol w:w="3545"/>
        <w:gridCol w:w="6095"/>
      </w:tblGrid>
      <w:tr w:rsidR="00E97381" w:rsidRPr="00A860A6" w:rsidTr="00C24940">
        <w:tc>
          <w:tcPr>
            <w:tcW w:w="3545" w:type="dxa"/>
            <w:shd w:val="clear" w:color="auto" w:fill="DBE5F1" w:themeFill="accent1" w:themeFillTint="33"/>
            <w:vAlign w:val="center"/>
          </w:tcPr>
          <w:p w:rsidR="00E97381" w:rsidRPr="00A860A6" w:rsidRDefault="00E97381" w:rsidP="00C1728B">
            <w:pPr>
              <w:pStyle w:val="Normal1"/>
              <w:spacing w:line="276" w:lineRule="auto"/>
              <w:rPr>
                <w:rFonts w:ascii="Open Sans Light" w:hAnsi="Open Sans Light" w:cs="Open Sans Light"/>
                <w:b/>
                <w:i/>
                <w:sz w:val="22"/>
                <w:szCs w:val="22"/>
              </w:rPr>
            </w:pPr>
            <w:r w:rsidRPr="00A860A6">
              <w:rPr>
                <w:rFonts w:ascii="Open Sans Light" w:hAnsi="Open Sans Light" w:cs="Open Sans Light"/>
                <w:b/>
                <w:i/>
                <w:sz w:val="22"/>
                <w:szCs w:val="22"/>
              </w:rPr>
              <w:t>Hvad kontrolleres?</w:t>
            </w:r>
          </w:p>
        </w:tc>
        <w:tc>
          <w:tcPr>
            <w:tcW w:w="6095" w:type="dxa"/>
            <w:shd w:val="clear" w:color="auto" w:fill="DBE5F1" w:themeFill="accent1" w:themeFillTint="33"/>
          </w:tcPr>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b/>
                <w:i/>
                <w:sz w:val="22"/>
                <w:szCs w:val="22"/>
              </w:rPr>
              <w:t>Hvordan kontrolleres? (forslag)</w:t>
            </w:r>
          </w:p>
        </w:tc>
      </w:tr>
      <w:tr w:rsidR="00E97381" w:rsidRPr="00A860A6" w:rsidTr="00C24940">
        <w:tc>
          <w:tcPr>
            <w:tcW w:w="3545" w:type="dxa"/>
            <w:vAlign w:val="center"/>
          </w:tcPr>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b/>
                <w:i/>
                <w:sz w:val="22"/>
                <w:szCs w:val="22"/>
              </w:rPr>
              <w:t>Bankafstemning</w:t>
            </w:r>
            <w:r w:rsidRPr="00A860A6">
              <w:rPr>
                <w:rFonts w:ascii="Open Sans Light" w:hAnsi="Open Sans Light" w:cs="Open Sans Light"/>
                <w:sz w:val="22"/>
                <w:szCs w:val="22"/>
              </w:rPr>
              <w:t xml:space="preserve"> </w:t>
            </w:r>
          </w:p>
          <w:p w:rsidR="00E97381" w:rsidRPr="00A860A6" w:rsidRDefault="00E97381" w:rsidP="00C1728B">
            <w:pPr>
              <w:rPr>
                <w:rFonts w:ascii="Open Sans Light" w:hAnsi="Open Sans Light" w:cs="Open Sans Light"/>
                <w:sz w:val="22"/>
                <w:szCs w:val="22"/>
              </w:rPr>
            </w:pPr>
            <w:r w:rsidRPr="00A860A6">
              <w:rPr>
                <w:rFonts w:ascii="Open Sans Light" w:hAnsi="Open Sans Light" w:cs="Open Sans Light"/>
                <w:sz w:val="22"/>
                <w:szCs w:val="22"/>
              </w:rPr>
              <w:t>Bankafstemningen indeholder en sammenligning mellem de faktiske bankposteringer i regnskabet og det oprindelige kontoudtog, modtaget fra banken.</w:t>
            </w:r>
          </w:p>
          <w:p w:rsidR="00E97381" w:rsidRPr="00A860A6" w:rsidRDefault="00E97381" w:rsidP="00C1728B">
            <w:pPr>
              <w:pStyle w:val="Normal1"/>
              <w:spacing w:line="276" w:lineRule="auto"/>
              <w:ind w:firstLine="284"/>
              <w:rPr>
                <w:rFonts w:ascii="Open Sans Light" w:hAnsi="Open Sans Light" w:cs="Open Sans Light"/>
                <w:sz w:val="22"/>
                <w:szCs w:val="22"/>
              </w:rPr>
            </w:pPr>
          </w:p>
          <w:p w:rsidR="00E97381" w:rsidRPr="00A860A6" w:rsidRDefault="00E97381" w:rsidP="00C1728B">
            <w:pPr>
              <w:pStyle w:val="Normal1"/>
              <w:numPr>
                <w:ilvl w:val="0"/>
                <w:numId w:val="1"/>
              </w:numPr>
              <w:spacing w:line="276" w:lineRule="auto"/>
              <w:ind w:left="426"/>
              <w:rPr>
                <w:rFonts w:ascii="Open Sans Light" w:hAnsi="Open Sans Light" w:cs="Open Sans Light"/>
                <w:sz w:val="22"/>
                <w:szCs w:val="22"/>
              </w:rPr>
            </w:pPr>
            <w:r w:rsidRPr="00A860A6">
              <w:rPr>
                <w:rFonts w:ascii="Open Sans Light" w:hAnsi="Open Sans Light" w:cs="Open Sans Light"/>
                <w:sz w:val="22"/>
                <w:szCs w:val="22"/>
              </w:rPr>
              <w:t xml:space="preserve">Gennemgang af bankkontoafstemningen. Afspejler bogføringen virkeligheden og de faktisk forbrugte midler? </w:t>
            </w:r>
          </w:p>
          <w:p w:rsidR="00E97381" w:rsidRPr="00A860A6" w:rsidRDefault="00E97381" w:rsidP="00C1728B">
            <w:pPr>
              <w:pStyle w:val="Normal1"/>
              <w:spacing w:line="276" w:lineRule="auto"/>
              <w:ind w:left="426"/>
              <w:rPr>
                <w:rFonts w:ascii="Open Sans Light" w:hAnsi="Open Sans Light" w:cs="Open Sans Light"/>
                <w:sz w:val="22"/>
                <w:szCs w:val="22"/>
              </w:rPr>
            </w:pPr>
          </w:p>
          <w:p w:rsidR="00E97381" w:rsidRPr="00A860A6" w:rsidRDefault="00E97381" w:rsidP="00C1728B">
            <w:pPr>
              <w:pStyle w:val="Normal1"/>
              <w:numPr>
                <w:ilvl w:val="0"/>
                <w:numId w:val="1"/>
              </w:numPr>
              <w:spacing w:line="276" w:lineRule="auto"/>
              <w:ind w:left="426"/>
              <w:rPr>
                <w:rFonts w:ascii="Open Sans Light" w:hAnsi="Open Sans Light" w:cs="Open Sans Light"/>
                <w:sz w:val="22"/>
                <w:szCs w:val="22"/>
              </w:rPr>
            </w:pPr>
            <w:r w:rsidRPr="00A860A6">
              <w:rPr>
                <w:rFonts w:ascii="Open Sans Light" w:hAnsi="Open Sans Light" w:cs="Open Sans Light"/>
                <w:sz w:val="22"/>
                <w:szCs w:val="22"/>
              </w:rPr>
              <w:t>Er kontoudtogene korrekte?</w:t>
            </w:r>
          </w:p>
          <w:p w:rsidR="00E97381" w:rsidRPr="00A860A6" w:rsidRDefault="00E97381" w:rsidP="00C1728B">
            <w:pPr>
              <w:pStyle w:val="Normal1"/>
              <w:spacing w:line="276" w:lineRule="auto"/>
              <w:ind w:left="426"/>
              <w:rPr>
                <w:rFonts w:ascii="Open Sans Light" w:hAnsi="Open Sans Light" w:cs="Open Sans Light"/>
                <w:sz w:val="22"/>
                <w:szCs w:val="22"/>
              </w:rPr>
            </w:pPr>
          </w:p>
          <w:p w:rsidR="00E97381" w:rsidRPr="00A860A6" w:rsidRDefault="00E97381" w:rsidP="00C1728B">
            <w:pPr>
              <w:pStyle w:val="Normal1"/>
              <w:numPr>
                <w:ilvl w:val="0"/>
                <w:numId w:val="1"/>
              </w:numPr>
              <w:spacing w:line="276" w:lineRule="auto"/>
              <w:ind w:left="426"/>
              <w:rPr>
                <w:rFonts w:ascii="Open Sans Light" w:hAnsi="Open Sans Light" w:cs="Open Sans Light"/>
                <w:sz w:val="22"/>
                <w:szCs w:val="22"/>
              </w:rPr>
            </w:pPr>
            <w:r w:rsidRPr="00A860A6">
              <w:rPr>
                <w:rFonts w:ascii="Open Sans Light" w:hAnsi="Open Sans Light" w:cs="Open Sans Light"/>
                <w:sz w:val="22"/>
                <w:szCs w:val="22"/>
              </w:rPr>
              <w:t xml:space="preserve">Er der overensstemmelse mellem bankkontoudskrift og finanssystemets kontoudskrift? </w:t>
            </w:r>
          </w:p>
        </w:tc>
        <w:tc>
          <w:tcPr>
            <w:tcW w:w="6095" w:type="dxa"/>
            <w:shd w:val="clear" w:color="auto" w:fill="DBE5F1" w:themeFill="accent1" w:themeFillTint="33"/>
          </w:tcPr>
          <w:p w:rsidR="00E97381" w:rsidRPr="00A860A6" w:rsidRDefault="00E97381" w:rsidP="00C24940">
            <w:pPr>
              <w:pStyle w:val="Normal1"/>
              <w:shd w:val="clear" w:color="auto" w:fill="DBE5F1" w:themeFill="accent1" w:themeFillTint="33"/>
              <w:spacing w:line="276" w:lineRule="auto"/>
              <w:rPr>
                <w:rFonts w:ascii="Open Sans Light" w:hAnsi="Open Sans Light" w:cs="Open Sans Light"/>
                <w:sz w:val="22"/>
                <w:szCs w:val="22"/>
              </w:rPr>
            </w:pPr>
            <w:r w:rsidRPr="00A860A6">
              <w:rPr>
                <w:rFonts w:ascii="Open Sans Light" w:hAnsi="Open Sans Light" w:cs="Open Sans Light"/>
                <w:sz w:val="22"/>
                <w:szCs w:val="22"/>
              </w:rPr>
              <w:t xml:space="preserve">Foreligger der dokumentation for foretaget afstemning for hver måned op til dato? Dokumentationen består typisk af bankens månedlige kontoudtog, specifikation af de poster, der fremgår af bogholderiets bogføring for den seneste måned, og evt. en opgørelse af ventende posteringer, f.eks. udstedte men ikke indløste checks. </w:t>
            </w:r>
          </w:p>
          <w:p w:rsidR="00E97381" w:rsidRPr="00A860A6" w:rsidRDefault="00E97381" w:rsidP="00C24940">
            <w:pPr>
              <w:pStyle w:val="Normal1"/>
              <w:shd w:val="clear" w:color="auto" w:fill="DBE5F1" w:themeFill="accent1" w:themeFillTint="33"/>
              <w:spacing w:line="276" w:lineRule="auto"/>
              <w:rPr>
                <w:rFonts w:ascii="Open Sans Light" w:hAnsi="Open Sans Light" w:cs="Open Sans Light"/>
                <w:sz w:val="22"/>
                <w:szCs w:val="22"/>
              </w:rPr>
            </w:pPr>
          </w:p>
          <w:p w:rsidR="00E97381" w:rsidRPr="00A860A6" w:rsidRDefault="00E97381" w:rsidP="00C24940">
            <w:pPr>
              <w:pStyle w:val="Normal1"/>
              <w:shd w:val="clear" w:color="auto" w:fill="DBE5F1" w:themeFill="accent1" w:themeFillTint="33"/>
              <w:spacing w:line="276" w:lineRule="auto"/>
              <w:rPr>
                <w:rFonts w:ascii="Open Sans Light" w:hAnsi="Open Sans Light" w:cs="Open Sans Light"/>
                <w:sz w:val="22"/>
                <w:szCs w:val="22"/>
              </w:rPr>
            </w:pPr>
            <w:r w:rsidRPr="00A860A6">
              <w:rPr>
                <w:rFonts w:ascii="Open Sans Light" w:hAnsi="Open Sans Light" w:cs="Open Sans Light"/>
                <w:sz w:val="22"/>
                <w:szCs w:val="22"/>
              </w:rPr>
              <w:t>Hvis der er overensstemmelse mellem bankkontoudskrift og finanssystemets kontoudskrift, vil det være et udtryk for, at alle indtægter og omkostninger er medtaget et sted i regnskabet.</w:t>
            </w:r>
          </w:p>
          <w:p w:rsidR="00E97381" w:rsidRPr="00A860A6" w:rsidRDefault="00E97381" w:rsidP="00C24940">
            <w:pPr>
              <w:pStyle w:val="Normal1"/>
              <w:shd w:val="clear" w:color="auto" w:fill="DBE5F1" w:themeFill="accent1" w:themeFillTint="33"/>
              <w:spacing w:line="276" w:lineRule="auto"/>
              <w:rPr>
                <w:rFonts w:ascii="Open Sans Light" w:hAnsi="Open Sans Light" w:cs="Open Sans Light"/>
                <w:sz w:val="22"/>
                <w:szCs w:val="22"/>
              </w:rPr>
            </w:pPr>
          </w:p>
          <w:p w:rsidR="00E97381" w:rsidRPr="00A860A6" w:rsidRDefault="00E97381" w:rsidP="00C24940">
            <w:pPr>
              <w:pStyle w:val="Normal1"/>
              <w:shd w:val="clear" w:color="auto" w:fill="DBE5F1" w:themeFill="accent1" w:themeFillTint="33"/>
              <w:spacing w:line="276" w:lineRule="auto"/>
              <w:rPr>
                <w:rFonts w:ascii="Open Sans Light" w:hAnsi="Open Sans Light" w:cs="Open Sans Light"/>
                <w:sz w:val="22"/>
                <w:szCs w:val="22"/>
              </w:rPr>
            </w:pPr>
            <w:r w:rsidRPr="00A860A6">
              <w:rPr>
                <w:rFonts w:ascii="Open Sans Light" w:hAnsi="Open Sans Light" w:cs="Open Sans Light"/>
                <w:sz w:val="22"/>
                <w:szCs w:val="22"/>
              </w:rPr>
              <w:t xml:space="preserve">Tjek f.eks. netbank med </w:t>
            </w:r>
            <w:proofErr w:type="spellStart"/>
            <w:r w:rsidRPr="00A860A6">
              <w:rPr>
                <w:rFonts w:ascii="Open Sans Light" w:hAnsi="Open Sans Light" w:cs="Open Sans Light"/>
                <w:sz w:val="22"/>
                <w:szCs w:val="22"/>
              </w:rPr>
              <w:t>sydpartneren</w:t>
            </w:r>
            <w:proofErr w:type="spellEnd"/>
            <w:r w:rsidRPr="00A860A6">
              <w:rPr>
                <w:rFonts w:ascii="Open Sans Light" w:hAnsi="Open Sans Light" w:cs="Open Sans Light"/>
                <w:sz w:val="22"/>
                <w:szCs w:val="22"/>
              </w:rPr>
              <w:t xml:space="preserve">, mens I gennemgår status, så I kan verificere bankkontoudtogets korrekthed. </w:t>
            </w:r>
          </w:p>
          <w:p w:rsidR="00E97381" w:rsidRPr="00A860A6" w:rsidRDefault="00E97381" w:rsidP="00C24940">
            <w:pPr>
              <w:pStyle w:val="Normal1"/>
              <w:shd w:val="clear" w:color="auto" w:fill="DBE5F1" w:themeFill="accent1" w:themeFillTint="33"/>
              <w:spacing w:line="276" w:lineRule="auto"/>
              <w:rPr>
                <w:rFonts w:ascii="Open Sans Light" w:hAnsi="Open Sans Light" w:cs="Open Sans Light"/>
                <w:sz w:val="22"/>
                <w:szCs w:val="22"/>
              </w:rPr>
            </w:pPr>
          </w:p>
          <w:p w:rsidR="00E97381" w:rsidRPr="00A860A6" w:rsidRDefault="00E97381" w:rsidP="00C24940">
            <w:pPr>
              <w:pStyle w:val="Normal1"/>
              <w:shd w:val="clear" w:color="auto" w:fill="DBE5F1" w:themeFill="accent1" w:themeFillTint="33"/>
              <w:spacing w:line="276" w:lineRule="auto"/>
              <w:rPr>
                <w:rFonts w:ascii="Open Sans Light" w:hAnsi="Open Sans Light" w:cs="Open Sans Light"/>
                <w:sz w:val="22"/>
                <w:szCs w:val="22"/>
              </w:rPr>
            </w:pPr>
            <w:r w:rsidRPr="00A860A6">
              <w:rPr>
                <w:rFonts w:ascii="Open Sans Light" w:hAnsi="Open Sans Light" w:cs="Open Sans Light"/>
                <w:sz w:val="22"/>
                <w:szCs w:val="22"/>
              </w:rPr>
              <w:t>Lav eksempelvis stikprøver ved at udvælge nogle tilfældige tal fra bankkontoudskriften og hold dem op mod bogføringssystemets tal.</w:t>
            </w:r>
          </w:p>
          <w:p w:rsidR="00E97381" w:rsidRPr="00A860A6" w:rsidRDefault="00E97381" w:rsidP="00C1728B">
            <w:pPr>
              <w:pStyle w:val="Normal1"/>
              <w:spacing w:line="276" w:lineRule="auto"/>
              <w:rPr>
                <w:rFonts w:ascii="Open Sans Light" w:hAnsi="Open Sans Light" w:cs="Open Sans Light"/>
                <w:sz w:val="22"/>
                <w:szCs w:val="22"/>
              </w:rPr>
            </w:pPr>
          </w:p>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t>Følg bilaget fra omkostningens opståen til afsluttende bogføring og godkendelse (se mere under ’Godkendelse’).</w:t>
            </w:r>
          </w:p>
        </w:tc>
      </w:tr>
      <w:tr w:rsidR="00E97381" w:rsidRPr="00A860A6" w:rsidTr="00C24940">
        <w:tc>
          <w:tcPr>
            <w:tcW w:w="3545" w:type="dxa"/>
            <w:vAlign w:val="center"/>
          </w:tcPr>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b/>
                <w:i/>
                <w:sz w:val="22"/>
                <w:szCs w:val="22"/>
              </w:rPr>
              <w:t>Kasseoptælling</w:t>
            </w:r>
            <w:r w:rsidRPr="00A860A6">
              <w:rPr>
                <w:rFonts w:ascii="Open Sans Light" w:hAnsi="Open Sans Light" w:cs="Open Sans Light"/>
                <w:sz w:val="22"/>
                <w:szCs w:val="22"/>
              </w:rPr>
              <w:t xml:space="preserve"> </w:t>
            </w:r>
          </w:p>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t>Kasseoptælling indeholder en sammenligning mellem de faktiske kasseposteringer i bogføringen og den fysiske optælling af kassebeholdningen.</w:t>
            </w:r>
          </w:p>
          <w:p w:rsidR="00E97381" w:rsidRPr="00A860A6" w:rsidRDefault="00E97381" w:rsidP="00C1728B">
            <w:pPr>
              <w:pStyle w:val="Normal1"/>
              <w:spacing w:line="276" w:lineRule="auto"/>
              <w:rPr>
                <w:rFonts w:ascii="Open Sans Light" w:hAnsi="Open Sans Light" w:cs="Open Sans Light"/>
                <w:sz w:val="22"/>
                <w:szCs w:val="22"/>
              </w:rPr>
            </w:pPr>
          </w:p>
          <w:p w:rsidR="00E97381" w:rsidRPr="00A860A6" w:rsidRDefault="00E97381" w:rsidP="00C1728B">
            <w:pPr>
              <w:pStyle w:val="Normal1"/>
              <w:numPr>
                <w:ilvl w:val="0"/>
                <w:numId w:val="1"/>
              </w:numPr>
              <w:spacing w:line="276" w:lineRule="auto"/>
              <w:ind w:left="426"/>
              <w:rPr>
                <w:rFonts w:ascii="Open Sans Light" w:hAnsi="Open Sans Light" w:cs="Open Sans Light"/>
                <w:sz w:val="22"/>
                <w:szCs w:val="22"/>
              </w:rPr>
            </w:pPr>
            <w:r w:rsidRPr="00A860A6">
              <w:rPr>
                <w:rFonts w:ascii="Open Sans Light" w:hAnsi="Open Sans Light" w:cs="Open Sans Light"/>
                <w:sz w:val="22"/>
                <w:szCs w:val="22"/>
              </w:rPr>
              <w:lastRenderedPageBreak/>
              <w:t xml:space="preserve">Bliver kontanter opbevaret forsvarligt? Hvem har adgang til kontanterne? </w:t>
            </w:r>
          </w:p>
          <w:p w:rsidR="00E97381" w:rsidRPr="00A860A6" w:rsidRDefault="00E97381" w:rsidP="00C1728B">
            <w:pPr>
              <w:pStyle w:val="Normal1"/>
              <w:spacing w:line="276" w:lineRule="auto"/>
              <w:ind w:left="426"/>
              <w:rPr>
                <w:rFonts w:ascii="Open Sans Light" w:hAnsi="Open Sans Light" w:cs="Open Sans Light"/>
                <w:sz w:val="22"/>
                <w:szCs w:val="22"/>
              </w:rPr>
            </w:pPr>
          </w:p>
          <w:p w:rsidR="00E97381" w:rsidRPr="00A860A6" w:rsidRDefault="00E97381" w:rsidP="00C1728B">
            <w:pPr>
              <w:pStyle w:val="Normal1"/>
              <w:numPr>
                <w:ilvl w:val="0"/>
                <w:numId w:val="1"/>
              </w:numPr>
              <w:spacing w:line="276" w:lineRule="auto"/>
              <w:ind w:left="426"/>
              <w:rPr>
                <w:rFonts w:ascii="Open Sans Light" w:hAnsi="Open Sans Light" w:cs="Open Sans Light"/>
                <w:sz w:val="22"/>
                <w:szCs w:val="22"/>
              </w:rPr>
            </w:pPr>
            <w:r w:rsidRPr="00A860A6">
              <w:rPr>
                <w:rFonts w:ascii="Open Sans Light" w:hAnsi="Open Sans Light" w:cs="Open Sans Light"/>
                <w:sz w:val="22"/>
                <w:szCs w:val="22"/>
              </w:rPr>
              <w:t xml:space="preserve">Gennemgå underskrevet dokumentation for kasseoptællinger. </w:t>
            </w:r>
          </w:p>
          <w:p w:rsidR="00E97381" w:rsidRPr="00A860A6" w:rsidRDefault="00E97381" w:rsidP="00C1728B">
            <w:pPr>
              <w:pStyle w:val="Normal1"/>
              <w:spacing w:line="276" w:lineRule="auto"/>
              <w:ind w:left="360"/>
              <w:rPr>
                <w:rFonts w:ascii="Open Sans Light" w:hAnsi="Open Sans Light" w:cs="Open Sans Light"/>
                <w:sz w:val="22"/>
                <w:szCs w:val="22"/>
              </w:rPr>
            </w:pPr>
          </w:p>
        </w:tc>
        <w:tc>
          <w:tcPr>
            <w:tcW w:w="6095" w:type="dxa"/>
            <w:shd w:val="clear" w:color="auto" w:fill="DBE5F1" w:themeFill="accent1" w:themeFillTint="33"/>
          </w:tcPr>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lastRenderedPageBreak/>
              <w:t xml:space="preserve">Selve kasseoptællingen foregår i princippet ved, at I tæller </w:t>
            </w:r>
            <w:r w:rsidRPr="00A860A6">
              <w:rPr>
                <w:rFonts w:ascii="Open Sans Light" w:hAnsi="Open Sans Light" w:cs="Open Sans Light"/>
                <w:i/>
                <w:sz w:val="22"/>
                <w:szCs w:val="22"/>
              </w:rPr>
              <w:t>antallet</w:t>
            </w:r>
            <w:r w:rsidRPr="00A860A6">
              <w:rPr>
                <w:rFonts w:ascii="Open Sans Light" w:hAnsi="Open Sans Light" w:cs="Open Sans Light"/>
                <w:sz w:val="22"/>
                <w:szCs w:val="22"/>
              </w:rPr>
              <w:t xml:space="preserve"> af ”</w:t>
            </w:r>
            <w:proofErr w:type="spellStart"/>
            <w:r w:rsidRPr="00A860A6">
              <w:rPr>
                <w:rFonts w:ascii="Open Sans Light" w:hAnsi="Open Sans Light" w:cs="Open Sans Light"/>
                <w:sz w:val="22"/>
                <w:szCs w:val="22"/>
              </w:rPr>
              <w:t>en-kroner</w:t>
            </w:r>
            <w:proofErr w:type="spellEnd"/>
            <w:r w:rsidRPr="00A860A6">
              <w:rPr>
                <w:rFonts w:ascii="Open Sans Light" w:hAnsi="Open Sans Light" w:cs="Open Sans Light"/>
                <w:sz w:val="22"/>
                <w:szCs w:val="22"/>
              </w:rPr>
              <w:t>”, ”to-kroner”, osv. og regner værdierne sammen. Det samlede beløb sammenlignes med det beløb, som ifølge regnskabssystemet burde være i kontanter. Denne afstemning af optælling kontra bogføring dokumenteres med underskrift og dato, så I ved, hvornår den er afstemt og af hvem.</w:t>
            </w:r>
          </w:p>
          <w:p w:rsidR="00E97381" w:rsidRPr="00A860A6" w:rsidRDefault="00E97381" w:rsidP="00C1728B">
            <w:pPr>
              <w:pStyle w:val="Normal1"/>
              <w:spacing w:line="276" w:lineRule="auto"/>
              <w:rPr>
                <w:rFonts w:ascii="Open Sans Light" w:hAnsi="Open Sans Light" w:cs="Open Sans Light"/>
                <w:sz w:val="22"/>
                <w:szCs w:val="22"/>
              </w:rPr>
            </w:pPr>
          </w:p>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t xml:space="preserve">Gennemgå de forrige underskrevne dokumenterede kasseoptællinger, der bør være arkiveret i regnskabsafdelingen. Det gør I for at tjekke, hvor ofte </w:t>
            </w:r>
            <w:proofErr w:type="spellStart"/>
            <w:r w:rsidRPr="00A860A6">
              <w:rPr>
                <w:rFonts w:ascii="Open Sans Light" w:hAnsi="Open Sans Light" w:cs="Open Sans Light"/>
                <w:sz w:val="22"/>
                <w:szCs w:val="22"/>
              </w:rPr>
              <w:t>sydpartner</w:t>
            </w:r>
            <w:proofErr w:type="spellEnd"/>
            <w:r w:rsidRPr="00A860A6">
              <w:rPr>
                <w:rFonts w:ascii="Open Sans Light" w:hAnsi="Open Sans Light" w:cs="Open Sans Light"/>
                <w:sz w:val="22"/>
                <w:szCs w:val="22"/>
              </w:rPr>
              <w:t xml:space="preserve"> tæller kassen op – foregår det regelmæssigt eller kun, når de bliver kontrolleret. </w:t>
            </w:r>
          </w:p>
          <w:p w:rsidR="00E97381" w:rsidRPr="00A860A6" w:rsidRDefault="00E97381" w:rsidP="00C1728B">
            <w:pPr>
              <w:pStyle w:val="Normal1"/>
              <w:spacing w:line="276" w:lineRule="auto"/>
              <w:rPr>
                <w:rFonts w:ascii="Open Sans Light" w:hAnsi="Open Sans Light" w:cs="Open Sans Light"/>
                <w:sz w:val="22"/>
                <w:szCs w:val="22"/>
              </w:rPr>
            </w:pPr>
          </w:p>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t>En kontantbeholdning er kilde til særlig opmærksomhed, idet den, trods små beløbsstørrelser, udgør en særlig fristelse for svage sjæle.</w:t>
            </w:r>
          </w:p>
          <w:p w:rsidR="00E97381" w:rsidRPr="00A860A6" w:rsidRDefault="00E97381" w:rsidP="00C1728B">
            <w:pPr>
              <w:pStyle w:val="Kommentartekst"/>
              <w:rPr>
                <w:rFonts w:ascii="Open Sans Light" w:hAnsi="Open Sans Light" w:cs="Open Sans Light"/>
                <w:sz w:val="22"/>
                <w:szCs w:val="22"/>
              </w:rPr>
            </w:pPr>
          </w:p>
        </w:tc>
      </w:tr>
      <w:tr w:rsidR="00E97381" w:rsidRPr="00A860A6" w:rsidTr="00C24940">
        <w:tc>
          <w:tcPr>
            <w:tcW w:w="3545" w:type="dxa"/>
            <w:vAlign w:val="center"/>
          </w:tcPr>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b/>
                <w:i/>
                <w:sz w:val="22"/>
                <w:szCs w:val="22"/>
              </w:rPr>
              <w:lastRenderedPageBreak/>
              <w:t>Godkendelsesprocedurer</w:t>
            </w:r>
          </w:p>
          <w:p w:rsidR="00E97381" w:rsidRPr="00A860A6" w:rsidRDefault="00E97381" w:rsidP="00C1728B">
            <w:pPr>
              <w:pStyle w:val="Normal1"/>
              <w:numPr>
                <w:ilvl w:val="0"/>
                <w:numId w:val="1"/>
              </w:numPr>
              <w:spacing w:line="276" w:lineRule="auto"/>
              <w:ind w:left="360"/>
              <w:rPr>
                <w:rFonts w:ascii="Open Sans Light" w:hAnsi="Open Sans Light" w:cs="Open Sans Light"/>
                <w:sz w:val="22"/>
                <w:szCs w:val="22"/>
              </w:rPr>
            </w:pPr>
            <w:r w:rsidRPr="00A860A6">
              <w:rPr>
                <w:rFonts w:ascii="Open Sans Light" w:hAnsi="Open Sans Light" w:cs="Open Sans Light"/>
                <w:sz w:val="22"/>
                <w:szCs w:val="22"/>
              </w:rPr>
              <w:t xml:space="preserve">Overholdes to-personers-reglen – er der altid mindst to til godkendelse af beslutninger i projektet, såvel aktiviteter som betalinger? </w:t>
            </w:r>
          </w:p>
        </w:tc>
        <w:tc>
          <w:tcPr>
            <w:tcW w:w="6095" w:type="dxa"/>
            <w:shd w:val="clear" w:color="auto" w:fill="DBE5F1" w:themeFill="accent1" w:themeFillTint="33"/>
          </w:tcPr>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t xml:space="preserve">Bed eksempelvis </w:t>
            </w:r>
            <w:proofErr w:type="spellStart"/>
            <w:r w:rsidRPr="00A860A6">
              <w:rPr>
                <w:rFonts w:ascii="Open Sans Light" w:hAnsi="Open Sans Light" w:cs="Open Sans Light"/>
                <w:sz w:val="22"/>
                <w:szCs w:val="22"/>
              </w:rPr>
              <w:t>sydpartner</w:t>
            </w:r>
            <w:proofErr w:type="spellEnd"/>
            <w:r w:rsidRPr="00A860A6">
              <w:rPr>
                <w:rFonts w:ascii="Open Sans Light" w:hAnsi="Open Sans Light" w:cs="Open Sans Light"/>
                <w:sz w:val="22"/>
                <w:szCs w:val="22"/>
              </w:rPr>
              <w:t xml:space="preserve"> fortælle om et tilfældigt udvalgt indkøb eller aktivitetsudgift og følg processen, fra den planlægges, til den afsluttes. Hvordan forløb godkendelsesproceduren? Kan I se de to underskrifter eller anden form for dokumenteret godkendelse? </w:t>
            </w:r>
          </w:p>
          <w:p w:rsidR="00E97381" w:rsidRPr="00A860A6" w:rsidRDefault="00E97381" w:rsidP="00C1728B">
            <w:pPr>
              <w:pStyle w:val="Normal1"/>
              <w:spacing w:line="276" w:lineRule="auto"/>
              <w:rPr>
                <w:rFonts w:ascii="Open Sans Light" w:hAnsi="Open Sans Light" w:cs="Open Sans Light"/>
                <w:sz w:val="22"/>
                <w:szCs w:val="22"/>
              </w:rPr>
            </w:pPr>
          </w:p>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t xml:space="preserve">Ideelt set skal der være adskillelse mellem registrerings- og frigivelsesfunktionen – altså en person, der registrerer udbetalingen, og den person, der udfører den. Men ofte kan det ikke lade sig gøre, fordi organisationerne ikke har så meget personale. I sådanne tilfælde kan man etablere kontrol ved at lade en underskriftsberettiget person (typisk ledelse) autorisere (godkende) ved sin underskrift både afholdelse af aktiviteten og selve betalingen af omkostningen. </w:t>
            </w:r>
          </w:p>
          <w:p w:rsidR="00E97381" w:rsidRPr="00A860A6" w:rsidRDefault="00E97381" w:rsidP="00C1728B">
            <w:pPr>
              <w:pStyle w:val="Normal1"/>
              <w:spacing w:line="276" w:lineRule="auto"/>
              <w:rPr>
                <w:rFonts w:ascii="Open Sans Light" w:hAnsi="Open Sans Light" w:cs="Open Sans Light"/>
                <w:sz w:val="22"/>
                <w:szCs w:val="22"/>
              </w:rPr>
            </w:pPr>
          </w:p>
          <w:p w:rsidR="00E97381" w:rsidRPr="00A860A6" w:rsidRDefault="00E97381" w:rsidP="00B63131">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t xml:space="preserve">Eksempel: Når en projektkoordinator beslutter og godkender en udgift til eksempelvis en workshop, kan det være, at dennes leder godkender, at aktiviteten skal finde sted. Når udbetalingen for mødelokalet skal overføres, er det igen dels projektkoordinator, der godkender udgiften, lederen, der godkender, og en regnskabsperson i organisationen, som på baggrund af disse </w:t>
            </w:r>
            <w:r w:rsidR="00B63131">
              <w:rPr>
                <w:rFonts w:ascii="Open Sans Light" w:hAnsi="Open Sans Light" w:cs="Open Sans Light"/>
                <w:sz w:val="22"/>
                <w:szCs w:val="22"/>
              </w:rPr>
              <w:t>godkendelser udbetaler pengen</w:t>
            </w:r>
            <w:bookmarkStart w:id="0" w:name="_GoBack"/>
            <w:r w:rsidR="00B63131" w:rsidRPr="002C2FC8">
              <w:rPr>
                <w:rFonts w:ascii="Open Sans Light" w:hAnsi="Open Sans Light" w:cs="Open Sans Light"/>
                <w:color w:val="000000" w:themeColor="text1"/>
                <w:sz w:val="22"/>
                <w:szCs w:val="22"/>
              </w:rPr>
              <w:t>e med lederens betalingsgodkendelse.</w:t>
            </w:r>
            <w:bookmarkEnd w:id="0"/>
          </w:p>
        </w:tc>
      </w:tr>
      <w:tr w:rsidR="00E97381" w:rsidRPr="00A860A6" w:rsidTr="00C24940">
        <w:tc>
          <w:tcPr>
            <w:tcW w:w="3545" w:type="dxa"/>
            <w:vAlign w:val="center"/>
          </w:tcPr>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b/>
                <w:i/>
                <w:sz w:val="22"/>
                <w:szCs w:val="22"/>
              </w:rPr>
              <w:t>Bogføring</w:t>
            </w:r>
          </w:p>
          <w:p w:rsidR="00E97381" w:rsidRPr="00A860A6" w:rsidRDefault="00E97381" w:rsidP="00C1728B">
            <w:pPr>
              <w:pStyle w:val="Normal1"/>
              <w:numPr>
                <w:ilvl w:val="0"/>
                <w:numId w:val="1"/>
              </w:numPr>
              <w:spacing w:line="276" w:lineRule="auto"/>
              <w:ind w:left="360"/>
              <w:rPr>
                <w:rFonts w:ascii="Open Sans Light" w:hAnsi="Open Sans Light" w:cs="Open Sans Light"/>
                <w:sz w:val="22"/>
                <w:szCs w:val="22"/>
              </w:rPr>
            </w:pPr>
            <w:r w:rsidRPr="00A860A6">
              <w:rPr>
                <w:rFonts w:ascii="Open Sans Light" w:hAnsi="Open Sans Light" w:cs="Open Sans Light"/>
                <w:sz w:val="22"/>
                <w:szCs w:val="22"/>
              </w:rPr>
              <w:t xml:space="preserve">Gennemgang af budgetlinjer i bogføringen – er </w:t>
            </w:r>
            <w:proofErr w:type="spellStart"/>
            <w:r w:rsidRPr="00A860A6">
              <w:rPr>
                <w:rFonts w:ascii="Open Sans Light" w:hAnsi="Open Sans Light" w:cs="Open Sans Light"/>
                <w:sz w:val="22"/>
                <w:szCs w:val="22"/>
              </w:rPr>
              <w:t>sydpartner</w:t>
            </w:r>
            <w:proofErr w:type="spellEnd"/>
            <w:r w:rsidRPr="00A860A6">
              <w:rPr>
                <w:rFonts w:ascii="Open Sans Light" w:hAnsi="Open Sans Light" w:cs="Open Sans Light"/>
                <w:sz w:val="22"/>
                <w:szCs w:val="22"/>
              </w:rPr>
              <w:t xml:space="preserve"> ajour med bogføringen i </w:t>
            </w:r>
            <w:r w:rsidRPr="00A860A6">
              <w:rPr>
                <w:rFonts w:ascii="Open Sans Light" w:hAnsi="Open Sans Light" w:cs="Open Sans Light"/>
                <w:sz w:val="22"/>
                <w:szCs w:val="22"/>
              </w:rPr>
              <w:lastRenderedPageBreak/>
              <w:t xml:space="preserve">projektet? </w:t>
            </w:r>
          </w:p>
          <w:p w:rsidR="00E97381" w:rsidRPr="00A860A6" w:rsidRDefault="00E97381" w:rsidP="00C1728B">
            <w:pPr>
              <w:pStyle w:val="Normal1"/>
              <w:spacing w:line="276" w:lineRule="auto"/>
              <w:ind w:left="720"/>
              <w:rPr>
                <w:rFonts w:ascii="Open Sans Light" w:hAnsi="Open Sans Light" w:cs="Open Sans Light"/>
                <w:sz w:val="22"/>
                <w:szCs w:val="22"/>
              </w:rPr>
            </w:pPr>
          </w:p>
          <w:p w:rsidR="00E97381" w:rsidRPr="00A860A6" w:rsidRDefault="00E97381" w:rsidP="00C1728B">
            <w:pPr>
              <w:pStyle w:val="Normal1"/>
              <w:numPr>
                <w:ilvl w:val="0"/>
                <w:numId w:val="1"/>
              </w:numPr>
              <w:spacing w:line="276" w:lineRule="auto"/>
              <w:ind w:left="360"/>
              <w:rPr>
                <w:rFonts w:ascii="Open Sans Light" w:hAnsi="Open Sans Light" w:cs="Open Sans Light"/>
                <w:sz w:val="22"/>
                <w:szCs w:val="22"/>
              </w:rPr>
            </w:pPr>
            <w:r w:rsidRPr="00A860A6">
              <w:rPr>
                <w:rFonts w:ascii="Open Sans Light" w:hAnsi="Open Sans Light" w:cs="Open Sans Light"/>
                <w:sz w:val="22"/>
                <w:szCs w:val="22"/>
              </w:rPr>
              <w:t>Bogføringsprocedurer – er der styr på dokumentation og arkivering af kvitteringer og bilag?</w:t>
            </w:r>
          </w:p>
        </w:tc>
        <w:tc>
          <w:tcPr>
            <w:tcW w:w="6095" w:type="dxa"/>
            <w:shd w:val="clear" w:color="auto" w:fill="DBE5F1" w:themeFill="accent1" w:themeFillTint="33"/>
          </w:tcPr>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lastRenderedPageBreak/>
              <w:t xml:space="preserve">Hvis bogføringen ikke er opdateret for nylig, er det et udtryk for, at </w:t>
            </w:r>
            <w:proofErr w:type="spellStart"/>
            <w:r w:rsidRPr="00A860A6">
              <w:rPr>
                <w:rFonts w:ascii="Open Sans Light" w:hAnsi="Open Sans Light" w:cs="Open Sans Light"/>
                <w:sz w:val="22"/>
                <w:szCs w:val="22"/>
              </w:rPr>
              <w:t>sydpartner</w:t>
            </w:r>
            <w:proofErr w:type="spellEnd"/>
            <w:r w:rsidRPr="00A860A6">
              <w:rPr>
                <w:rFonts w:ascii="Open Sans Light" w:hAnsi="Open Sans Light" w:cs="Open Sans Light"/>
                <w:sz w:val="22"/>
                <w:szCs w:val="22"/>
              </w:rPr>
              <w:t xml:space="preserve"> ikke er ajour. Hvis det er længe siden, der er foretaget afstemning mellem pengebeholdning i bank (og kasse), indtægter og forbrug, </w:t>
            </w:r>
            <w:r w:rsidRPr="00A860A6">
              <w:rPr>
                <w:rFonts w:ascii="Open Sans Light" w:hAnsi="Open Sans Light" w:cs="Open Sans Light"/>
                <w:sz w:val="22"/>
                <w:szCs w:val="22"/>
              </w:rPr>
              <w:lastRenderedPageBreak/>
              <w:t>er der en øget risiko for, at noget ikke stemmer.</w:t>
            </w:r>
          </w:p>
          <w:p w:rsidR="00E97381" w:rsidRPr="00A860A6" w:rsidRDefault="00E97381" w:rsidP="00C1728B">
            <w:pPr>
              <w:pStyle w:val="Normal1"/>
              <w:spacing w:line="276" w:lineRule="auto"/>
              <w:rPr>
                <w:rFonts w:ascii="Open Sans Light" w:hAnsi="Open Sans Light" w:cs="Open Sans Light"/>
                <w:sz w:val="22"/>
                <w:szCs w:val="22"/>
              </w:rPr>
            </w:pPr>
          </w:p>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t xml:space="preserve">Samtidig har graden af opdatering betydning for budgetopfølgningen. Bogføringen kan give et billede af </w:t>
            </w:r>
            <w:proofErr w:type="spellStart"/>
            <w:r w:rsidRPr="00A860A6">
              <w:rPr>
                <w:rFonts w:ascii="Open Sans Light" w:hAnsi="Open Sans Light" w:cs="Open Sans Light"/>
                <w:sz w:val="22"/>
                <w:szCs w:val="22"/>
              </w:rPr>
              <w:t>sydpartnerens</w:t>
            </w:r>
            <w:proofErr w:type="spellEnd"/>
            <w:r w:rsidRPr="00A860A6">
              <w:rPr>
                <w:rFonts w:ascii="Open Sans Light" w:hAnsi="Open Sans Light" w:cs="Open Sans Light"/>
                <w:sz w:val="22"/>
                <w:szCs w:val="22"/>
              </w:rPr>
              <w:t xml:space="preserve"> interne håndtering af projektets midler og give et billede af koblingen mellem udførte aktiviteter og økonomi.</w:t>
            </w:r>
          </w:p>
          <w:p w:rsidR="00E97381" w:rsidRPr="00A860A6" w:rsidRDefault="00E97381" w:rsidP="00C1728B">
            <w:pPr>
              <w:pStyle w:val="Normal1"/>
              <w:spacing w:line="276" w:lineRule="auto"/>
              <w:rPr>
                <w:rFonts w:ascii="Open Sans Light" w:hAnsi="Open Sans Light" w:cs="Open Sans Light"/>
                <w:sz w:val="22"/>
                <w:szCs w:val="22"/>
              </w:rPr>
            </w:pPr>
          </w:p>
          <w:p w:rsidR="00E97381" w:rsidRPr="00A860A6" w:rsidRDefault="00E97381" w:rsidP="00C1728B">
            <w:pPr>
              <w:pStyle w:val="Kommentartekst"/>
              <w:rPr>
                <w:rFonts w:ascii="Open Sans Light" w:hAnsi="Open Sans Light" w:cs="Open Sans Light"/>
                <w:sz w:val="22"/>
                <w:szCs w:val="22"/>
              </w:rPr>
            </w:pPr>
            <w:r w:rsidRPr="00A860A6">
              <w:rPr>
                <w:rFonts w:ascii="Open Sans Light" w:hAnsi="Open Sans Light" w:cs="Open Sans Light"/>
                <w:sz w:val="22"/>
                <w:szCs w:val="22"/>
              </w:rPr>
              <w:t xml:space="preserve">I visse udviklingslande kan kontante betalinger være nødvendige. Hvis der betales kontant, skal der foreligge en form for kvittering, der indeholder fyldige detaljer, hvoraf det tydeligt fremgår, hvad beløbet er, hvad pengene er brugt til, og hvem der har modtaget dem, inkl. en underskrift fra leverandøren eller personen, der modtog pengene. Proceduren hos </w:t>
            </w:r>
            <w:proofErr w:type="spellStart"/>
            <w:r w:rsidRPr="00A860A6">
              <w:rPr>
                <w:rFonts w:ascii="Open Sans Light" w:hAnsi="Open Sans Light" w:cs="Open Sans Light"/>
                <w:sz w:val="22"/>
                <w:szCs w:val="22"/>
              </w:rPr>
              <w:t>sydpartner</w:t>
            </w:r>
            <w:proofErr w:type="spellEnd"/>
            <w:r w:rsidRPr="00A860A6">
              <w:rPr>
                <w:rFonts w:ascii="Open Sans Light" w:hAnsi="Open Sans Light" w:cs="Open Sans Light"/>
                <w:sz w:val="22"/>
                <w:szCs w:val="22"/>
              </w:rPr>
              <w:t xml:space="preserve"> skulle gerne være, at der udover den ansvarlige persons godkendelse af transaktionen også skal være en underskriftsberettiget person, der gennemgår og autoriserer de kontante betalinger. </w:t>
            </w:r>
          </w:p>
          <w:p w:rsidR="00E97381" w:rsidRPr="00A860A6" w:rsidRDefault="00E97381" w:rsidP="00C1728B">
            <w:pPr>
              <w:pStyle w:val="Kommentartekst"/>
              <w:rPr>
                <w:rFonts w:ascii="Open Sans Light" w:hAnsi="Open Sans Light" w:cs="Open Sans Light"/>
                <w:sz w:val="22"/>
                <w:szCs w:val="22"/>
              </w:rPr>
            </w:pPr>
          </w:p>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t>For at få bekræftet kontante betalinger er det relevant på stikprøvebasis at kontakte leverandøren og andre leverandører for uafhængige tjek af prisen.</w:t>
            </w:r>
          </w:p>
          <w:p w:rsidR="00E97381" w:rsidRPr="00A860A6" w:rsidRDefault="00E97381" w:rsidP="00C1728B">
            <w:pPr>
              <w:pStyle w:val="Normal1"/>
              <w:spacing w:line="276" w:lineRule="auto"/>
              <w:rPr>
                <w:rFonts w:ascii="Open Sans Light" w:hAnsi="Open Sans Light" w:cs="Open Sans Light"/>
                <w:sz w:val="22"/>
                <w:szCs w:val="22"/>
              </w:rPr>
            </w:pPr>
          </w:p>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t xml:space="preserve">Hvis der udbetales forskud til eksempelvis afholdelse af en aktivitet, så tjek, at forskuddet er afregnet inden for rimelig tid, efter at aktiviteten er afsluttet, f.eks. 14 dage. </w:t>
            </w:r>
          </w:p>
        </w:tc>
      </w:tr>
      <w:tr w:rsidR="00E97381" w:rsidRPr="00A860A6" w:rsidTr="00C24940">
        <w:tc>
          <w:tcPr>
            <w:tcW w:w="3545" w:type="dxa"/>
            <w:vAlign w:val="center"/>
          </w:tcPr>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b/>
                <w:i/>
                <w:sz w:val="22"/>
                <w:szCs w:val="22"/>
              </w:rPr>
              <w:lastRenderedPageBreak/>
              <w:t>Budgetopfølgning</w:t>
            </w:r>
          </w:p>
          <w:p w:rsidR="00E97381" w:rsidRPr="00A860A6" w:rsidRDefault="00E97381" w:rsidP="00C1728B">
            <w:pPr>
              <w:pStyle w:val="Normal1"/>
              <w:numPr>
                <w:ilvl w:val="0"/>
                <w:numId w:val="1"/>
              </w:numPr>
              <w:spacing w:line="276" w:lineRule="auto"/>
              <w:ind w:left="360"/>
              <w:rPr>
                <w:rFonts w:ascii="Open Sans Light" w:hAnsi="Open Sans Light" w:cs="Open Sans Light"/>
                <w:sz w:val="22"/>
                <w:szCs w:val="22"/>
              </w:rPr>
            </w:pPr>
            <w:r w:rsidRPr="00A860A6">
              <w:rPr>
                <w:rFonts w:ascii="Open Sans Light" w:hAnsi="Open Sans Light" w:cs="Open Sans Light"/>
                <w:sz w:val="22"/>
                <w:szCs w:val="22"/>
              </w:rPr>
              <w:t>Hvordan er afvigelserne fordelt over de forskellige typer af budgetlinjer?</w:t>
            </w:r>
          </w:p>
          <w:p w:rsidR="00E97381" w:rsidRPr="00A860A6" w:rsidRDefault="00E97381" w:rsidP="00C1728B">
            <w:pPr>
              <w:pStyle w:val="Normal1"/>
              <w:numPr>
                <w:ilvl w:val="0"/>
                <w:numId w:val="1"/>
              </w:numPr>
              <w:spacing w:line="276" w:lineRule="auto"/>
              <w:ind w:left="360"/>
              <w:rPr>
                <w:rFonts w:ascii="Open Sans Light" w:hAnsi="Open Sans Light" w:cs="Open Sans Light"/>
                <w:sz w:val="22"/>
                <w:szCs w:val="22"/>
              </w:rPr>
            </w:pPr>
            <w:r w:rsidRPr="00A860A6">
              <w:rPr>
                <w:rFonts w:ascii="Open Sans Light" w:hAnsi="Open Sans Light" w:cs="Open Sans Light"/>
                <w:sz w:val="22"/>
                <w:szCs w:val="22"/>
              </w:rPr>
              <w:t xml:space="preserve">Er disse afvigelser på variable eller faste omkostningslinjer? </w:t>
            </w:r>
          </w:p>
          <w:p w:rsidR="00E97381" w:rsidRPr="00A860A6" w:rsidRDefault="00E97381" w:rsidP="00C1728B">
            <w:pPr>
              <w:pStyle w:val="Normal1"/>
              <w:numPr>
                <w:ilvl w:val="0"/>
                <w:numId w:val="1"/>
              </w:numPr>
              <w:spacing w:line="276" w:lineRule="auto"/>
              <w:ind w:left="360"/>
              <w:rPr>
                <w:rFonts w:ascii="Open Sans Light" w:hAnsi="Open Sans Light" w:cs="Open Sans Light"/>
                <w:sz w:val="22"/>
                <w:szCs w:val="22"/>
              </w:rPr>
            </w:pPr>
            <w:r w:rsidRPr="00A860A6">
              <w:rPr>
                <w:rFonts w:ascii="Open Sans Light" w:hAnsi="Open Sans Light" w:cs="Open Sans Light"/>
                <w:sz w:val="22"/>
                <w:szCs w:val="22"/>
              </w:rPr>
              <w:t>Hvordan er balancen mellem organisationsomkostninger versus aktivitetsomkostninger?</w:t>
            </w:r>
          </w:p>
        </w:tc>
        <w:tc>
          <w:tcPr>
            <w:tcW w:w="6095" w:type="dxa"/>
            <w:shd w:val="clear" w:color="auto" w:fill="DBE5F1" w:themeFill="accent1" w:themeFillTint="33"/>
          </w:tcPr>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t>Formålet er dels at få en fornemmelse for integrationen mellem projekt og økonomi, og dels, om projektets udgifter følger det budget, I aftalte for perioden.</w:t>
            </w:r>
          </w:p>
          <w:p w:rsidR="00E97381" w:rsidRPr="00A860A6" w:rsidRDefault="00E97381" w:rsidP="00C1728B">
            <w:pPr>
              <w:pStyle w:val="Normal1"/>
              <w:spacing w:line="276" w:lineRule="auto"/>
              <w:ind w:left="284"/>
              <w:rPr>
                <w:rFonts w:ascii="Open Sans Light" w:hAnsi="Open Sans Light" w:cs="Open Sans Light"/>
                <w:sz w:val="22"/>
                <w:szCs w:val="22"/>
              </w:rPr>
            </w:pPr>
          </w:p>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t>Se eksempelvis på, hvor stor en del der går til lønninger versus aktiviteter. De afvigelser, der er, særligt på lønlinjer, skal jo kunne sandsynliggøres indhentet inden projektets afslutning.</w:t>
            </w:r>
          </w:p>
          <w:p w:rsidR="00E97381" w:rsidRPr="00A860A6" w:rsidRDefault="00E97381" w:rsidP="00C1728B">
            <w:pPr>
              <w:pStyle w:val="Normal1"/>
              <w:spacing w:line="276" w:lineRule="auto"/>
              <w:ind w:left="284"/>
              <w:rPr>
                <w:rFonts w:ascii="Open Sans Light" w:hAnsi="Open Sans Light" w:cs="Open Sans Light"/>
                <w:sz w:val="22"/>
                <w:szCs w:val="22"/>
              </w:rPr>
            </w:pPr>
          </w:p>
          <w:p w:rsidR="00E97381" w:rsidRPr="00A860A6" w:rsidRDefault="00E97381" w:rsidP="00C1728B">
            <w:pPr>
              <w:pStyle w:val="Normal1"/>
              <w:spacing w:line="276" w:lineRule="auto"/>
              <w:rPr>
                <w:rFonts w:ascii="Open Sans Light" w:hAnsi="Open Sans Light" w:cs="Open Sans Light"/>
                <w:sz w:val="22"/>
                <w:szCs w:val="22"/>
              </w:rPr>
            </w:pPr>
          </w:p>
        </w:tc>
      </w:tr>
      <w:tr w:rsidR="00E97381" w:rsidRPr="00A860A6" w:rsidTr="00C24940">
        <w:trPr>
          <w:trHeight w:val="3317"/>
        </w:trPr>
        <w:tc>
          <w:tcPr>
            <w:tcW w:w="3545" w:type="dxa"/>
            <w:vAlign w:val="center"/>
          </w:tcPr>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b/>
                <w:i/>
                <w:sz w:val="22"/>
                <w:szCs w:val="22"/>
              </w:rPr>
              <w:lastRenderedPageBreak/>
              <w:t>Inventarliste</w:t>
            </w:r>
            <w:r w:rsidRPr="00A860A6">
              <w:rPr>
                <w:rFonts w:ascii="Open Sans Light" w:hAnsi="Open Sans Light" w:cs="Open Sans Light"/>
                <w:b/>
                <w:i/>
                <w:sz w:val="22"/>
                <w:szCs w:val="22"/>
              </w:rPr>
              <w:br/>
            </w:r>
            <w:r w:rsidRPr="00A860A6">
              <w:rPr>
                <w:rFonts w:ascii="Open Sans Light" w:hAnsi="Open Sans Light" w:cs="Open Sans Light"/>
                <w:sz w:val="22"/>
                <w:szCs w:val="22"/>
              </w:rPr>
              <w:t>Investeringer (anlægsaktiver) såsom bygninger, køretøjer, udstyr og møbler, anvendt af projektet som en del af den daglige drift, men som ikke ”forbruges” ved anvendelse.</w:t>
            </w:r>
          </w:p>
          <w:p w:rsidR="00E97381" w:rsidRPr="00A860A6" w:rsidRDefault="00E97381" w:rsidP="00C1728B">
            <w:pPr>
              <w:pStyle w:val="Normal1"/>
              <w:spacing w:line="276" w:lineRule="auto"/>
              <w:ind w:firstLine="360"/>
              <w:rPr>
                <w:rFonts w:ascii="Open Sans Light" w:hAnsi="Open Sans Light" w:cs="Open Sans Light"/>
                <w:sz w:val="22"/>
                <w:szCs w:val="22"/>
              </w:rPr>
            </w:pPr>
          </w:p>
          <w:p w:rsidR="00E97381" w:rsidRPr="00A860A6" w:rsidRDefault="00E97381" w:rsidP="00C1728B">
            <w:pPr>
              <w:pStyle w:val="Normal1"/>
              <w:numPr>
                <w:ilvl w:val="0"/>
                <w:numId w:val="1"/>
              </w:numPr>
              <w:spacing w:line="276" w:lineRule="auto"/>
              <w:ind w:left="284"/>
              <w:rPr>
                <w:rFonts w:ascii="Open Sans Light" w:hAnsi="Open Sans Light" w:cs="Open Sans Light"/>
                <w:sz w:val="22"/>
                <w:szCs w:val="22"/>
              </w:rPr>
            </w:pPr>
            <w:r w:rsidRPr="00A860A6">
              <w:rPr>
                <w:rFonts w:ascii="Open Sans Light" w:hAnsi="Open Sans Light" w:cs="Open Sans Light"/>
                <w:sz w:val="22"/>
                <w:szCs w:val="22"/>
              </w:rPr>
              <w:t xml:space="preserve">Gennemgang af eventuelle inventarlister, f.eks. biler eller IT-udstyr. Er alle indkøb for projektmidler opgjort, og er listen ajourført? </w:t>
            </w:r>
          </w:p>
        </w:tc>
        <w:tc>
          <w:tcPr>
            <w:tcW w:w="6095" w:type="dxa"/>
            <w:shd w:val="clear" w:color="auto" w:fill="DBE5F1" w:themeFill="accent1" w:themeFillTint="33"/>
          </w:tcPr>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t xml:space="preserve">Tjek, om I kan se de indkøbte ting på inventarlisten, og om tingene er mærket på en sådan måde, at det er nemt at identificere dem i forhold til listen. </w:t>
            </w:r>
          </w:p>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t>Er de i god/brugbar stand? Stemmer investeringerne overens med den budgetlinje, I har for investering?</w:t>
            </w:r>
          </w:p>
          <w:p w:rsidR="00E97381" w:rsidRPr="00A860A6" w:rsidRDefault="00E97381" w:rsidP="00C1728B">
            <w:pPr>
              <w:pStyle w:val="Normal1"/>
              <w:spacing w:line="276" w:lineRule="auto"/>
              <w:rPr>
                <w:rFonts w:ascii="Open Sans Light" w:hAnsi="Open Sans Light" w:cs="Open Sans Light"/>
                <w:sz w:val="22"/>
                <w:szCs w:val="22"/>
              </w:rPr>
            </w:pPr>
          </w:p>
          <w:p w:rsidR="00E97381" w:rsidRPr="00A860A6" w:rsidRDefault="00E97381" w:rsidP="00C1728B">
            <w:pPr>
              <w:pStyle w:val="Normal1"/>
              <w:spacing w:line="276" w:lineRule="auto"/>
              <w:rPr>
                <w:rFonts w:ascii="Open Sans Light" w:hAnsi="Open Sans Light" w:cs="Open Sans Light"/>
                <w:sz w:val="22"/>
                <w:szCs w:val="22"/>
              </w:rPr>
            </w:pPr>
            <w:r w:rsidRPr="00A860A6">
              <w:rPr>
                <w:rFonts w:ascii="Open Sans Light" w:hAnsi="Open Sans Light" w:cs="Open Sans Light"/>
                <w:sz w:val="22"/>
                <w:szCs w:val="22"/>
              </w:rPr>
              <w:t>Hvis der eksempelvis er investeret i et transportmiddel, så bed om at se kørebogen og tjek, at kørslen, der er foretaget, er relateret til indsatsen/projektet. Anvendes den til andre formål end det projektrelaterede, og findes der i så fald procedurer for kompensation? Læs om inventarliste tidligere i kapitlet, afsnit 3.2.3.</w:t>
            </w:r>
          </w:p>
        </w:tc>
      </w:tr>
    </w:tbl>
    <w:p w:rsidR="0034324E" w:rsidRPr="00A860A6" w:rsidRDefault="0034324E">
      <w:pPr>
        <w:rPr>
          <w:rFonts w:ascii="Open Sans Light" w:hAnsi="Open Sans Light" w:cs="Open Sans Light"/>
          <w:szCs w:val="22"/>
        </w:rPr>
      </w:pPr>
    </w:p>
    <w:sectPr w:rsidR="0034324E" w:rsidRPr="00A860A6">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33" w:rsidRDefault="00527333" w:rsidP="00C24940">
      <w:pPr>
        <w:spacing w:line="240" w:lineRule="auto"/>
      </w:pPr>
      <w:r>
        <w:separator/>
      </w:r>
    </w:p>
  </w:endnote>
  <w:endnote w:type="continuationSeparator" w:id="0">
    <w:p w:rsidR="00527333" w:rsidRDefault="00527333" w:rsidP="00C249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33" w:rsidRDefault="00527333" w:rsidP="00C24940">
      <w:pPr>
        <w:spacing w:line="240" w:lineRule="auto"/>
      </w:pPr>
      <w:r>
        <w:separator/>
      </w:r>
    </w:p>
  </w:footnote>
  <w:footnote w:type="continuationSeparator" w:id="0">
    <w:p w:rsidR="00527333" w:rsidRDefault="00527333" w:rsidP="00C249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A6" w:rsidRDefault="00A860A6">
    <w:pPr>
      <w:pStyle w:val="Sidehoved"/>
    </w:pPr>
    <w:r>
      <w:rPr>
        <w:noProof/>
        <w:lang w:eastAsia="da-DK"/>
      </w:rPr>
      <w:drawing>
        <wp:anchor distT="0" distB="0" distL="114300" distR="114300" simplePos="0" relativeHeight="251659264" behindDoc="0" locked="0" layoutInCell="1" allowOverlap="1" wp14:anchorId="453A6585" wp14:editId="6C55799A">
          <wp:simplePos x="0" y="0"/>
          <wp:positionH relativeFrom="page">
            <wp:posOffset>5054379</wp:posOffset>
          </wp:positionH>
          <wp:positionV relativeFrom="page">
            <wp:posOffset>323280</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B13DA"/>
    <w:multiLevelType w:val="multilevel"/>
    <w:tmpl w:val="7E7C02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81"/>
    <w:rsid w:val="002C2FC8"/>
    <w:rsid w:val="003029B2"/>
    <w:rsid w:val="0034324E"/>
    <w:rsid w:val="00527333"/>
    <w:rsid w:val="00A860A6"/>
    <w:rsid w:val="00B63131"/>
    <w:rsid w:val="00C24940"/>
    <w:rsid w:val="00C42ABD"/>
    <w:rsid w:val="00E83D30"/>
    <w:rsid w:val="00E973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81"/>
    <w:pPr>
      <w:spacing w:after="0"/>
    </w:pPr>
    <w:rPr>
      <w:rFonts w:asciiTheme="majorHAnsi" w:hAnsiTheme="majorHAnsi" w:cs="Arial"/>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E97381"/>
    <w:pPr>
      <w:spacing w:after="0" w:line="240" w:lineRule="auto"/>
    </w:pPr>
    <w:rPr>
      <w:rFonts w:ascii="Arial" w:hAnsi="Arial" w:cs="Arial"/>
      <w:sz w:val="24"/>
      <w:szCs w:val="24"/>
    </w:rPr>
  </w:style>
  <w:style w:type="paragraph" w:styleId="Kommentartekst">
    <w:name w:val="annotation text"/>
    <w:basedOn w:val="Normal"/>
    <w:link w:val="KommentartekstTegn"/>
    <w:uiPriority w:val="99"/>
    <w:unhideWhenUsed/>
    <w:rsid w:val="00E97381"/>
  </w:style>
  <w:style w:type="character" w:customStyle="1" w:styleId="KommentartekstTegn">
    <w:name w:val="Kommentartekst Tegn"/>
    <w:basedOn w:val="Standardskrifttypeiafsnit"/>
    <w:link w:val="Kommentartekst"/>
    <w:uiPriority w:val="99"/>
    <w:rsid w:val="00E97381"/>
    <w:rPr>
      <w:rFonts w:asciiTheme="majorHAnsi" w:hAnsiTheme="majorHAnsi" w:cs="Arial"/>
      <w:szCs w:val="24"/>
    </w:rPr>
  </w:style>
  <w:style w:type="table" w:styleId="Tabel-Gitter">
    <w:name w:val="Table Grid"/>
    <w:basedOn w:val="Tabel-Normal"/>
    <w:uiPriority w:val="39"/>
    <w:rsid w:val="00E9738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2494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24940"/>
    <w:rPr>
      <w:rFonts w:asciiTheme="majorHAnsi" w:hAnsiTheme="majorHAnsi" w:cs="Arial"/>
      <w:szCs w:val="24"/>
    </w:rPr>
  </w:style>
  <w:style w:type="paragraph" w:styleId="Sidefod">
    <w:name w:val="footer"/>
    <w:basedOn w:val="Normal"/>
    <w:link w:val="SidefodTegn"/>
    <w:uiPriority w:val="99"/>
    <w:unhideWhenUsed/>
    <w:rsid w:val="00C24940"/>
    <w:pPr>
      <w:tabs>
        <w:tab w:val="center" w:pos="4819"/>
        <w:tab w:val="right" w:pos="9638"/>
      </w:tabs>
      <w:spacing w:line="240" w:lineRule="auto"/>
    </w:pPr>
  </w:style>
  <w:style w:type="character" w:customStyle="1" w:styleId="SidefodTegn">
    <w:name w:val="Sidefod Tegn"/>
    <w:basedOn w:val="Standardskrifttypeiafsnit"/>
    <w:link w:val="Sidefod"/>
    <w:uiPriority w:val="99"/>
    <w:rsid w:val="00C24940"/>
    <w:rPr>
      <w:rFonts w:asciiTheme="majorHAnsi" w:hAnsiTheme="majorHAnsi" w:cs="Arial"/>
      <w:szCs w:val="24"/>
    </w:rPr>
  </w:style>
  <w:style w:type="paragraph" w:customStyle="1" w:styleId="Pa7">
    <w:name w:val="Pa7"/>
    <w:basedOn w:val="Normal"/>
    <w:next w:val="Normal"/>
    <w:uiPriority w:val="99"/>
    <w:rsid w:val="00C24940"/>
    <w:pPr>
      <w:autoSpaceDE w:val="0"/>
      <w:autoSpaceDN w:val="0"/>
      <w:adjustRightInd w:val="0"/>
      <w:spacing w:line="181" w:lineRule="atLeast"/>
    </w:pPr>
    <w:rPr>
      <w:rFonts w:ascii="Open Sans Light" w:hAnsi="Open Sans Light" w:cs="Times New Roman"/>
      <w:sz w:val="24"/>
    </w:rPr>
  </w:style>
  <w:style w:type="paragraph" w:styleId="NormalWeb">
    <w:name w:val="Normal (Web)"/>
    <w:basedOn w:val="Normal"/>
    <w:uiPriority w:val="99"/>
    <w:unhideWhenUsed/>
    <w:rsid w:val="00C24940"/>
    <w:pPr>
      <w:spacing w:before="100" w:beforeAutospacing="1" w:after="100" w:afterAutospacing="1" w:line="240" w:lineRule="auto"/>
    </w:pPr>
    <w:rPr>
      <w:rFonts w:ascii="Times New Roman" w:eastAsia="Times New Roman" w:hAnsi="Times New Roman" w:cs="Times New Roman"/>
      <w:sz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81"/>
    <w:pPr>
      <w:spacing w:after="0"/>
    </w:pPr>
    <w:rPr>
      <w:rFonts w:asciiTheme="majorHAnsi" w:hAnsiTheme="majorHAnsi" w:cs="Arial"/>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E97381"/>
    <w:pPr>
      <w:spacing w:after="0" w:line="240" w:lineRule="auto"/>
    </w:pPr>
    <w:rPr>
      <w:rFonts w:ascii="Arial" w:hAnsi="Arial" w:cs="Arial"/>
      <w:sz w:val="24"/>
      <w:szCs w:val="24"/>
    </w:rPr>
  </w:style>
  <w:style w:type="paragraph" w:styleId="Kommentartekst">
    <w:name w:val="annotation text"/>
    <w:basedOn w:val="Normal"/>
    <w:link w:val="KommentartekstTegn"/>
    <w:uiPriority w:val="99"/>
    <w:unhideWhenUsed/>
    <w:rsid w:val="00E97381"/>
  </w:style>
  <w:style w:type="character" w:customStyle="1" w:styleId="KommentartekstTegn">
    <w:name w:val="Kommentartekst Tegn"/>
    <w:basedOn w:val="Standardskrifttypeiafsnit"/>
    <w:link w:val="Kommentartekst"/>
    <w:uiPriority w:val="99"/>
    <w:rsid w:val="00E97381"/>
    <w:rPr>
      <w:rFonts w:asciiTheme="majorHAnsi" w:hAnsiTheme="majorHAnsi" w:cs="Arial"/>
      <w:szCs w:val="24"/>
    </w:rPr>
  </w:style>
  <w:style w:type="table" w:styleId="Tabel-Gitter">
    <w:name w:val="Table Grid"/>
    <w:basedOn w:val="Tabel-Normal"/>
    <w:uiPriority w:val="39"/>
    <w:rsid w:val="00E9738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2494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24940"/>
    <w:rPr>
      <w:rFonts w:asciiTheme="majorHAnsi" w:hAnsiTheme="majorHAnsi" w:cs="Arial"/>
      <w:szCs w:val="24"/>
    </w:rPr>
  </w:style>
  <w:style w:type="paragraph" w:styleId="Sidefod">
    <w:name w:val="footer"/>
    <w:basedOn w:val="Normal"/>
    <w:link w:val="SidefodTegn"/>
    <w:uiPriority w:val="99"/>
    <w:unhideWhenUsed/>
    <w:rsid w:val="00C24940"/>
    <w:pPr>
      <w:tabs>
        <w:tab w:val="center" w:pos="4819"/>
        <w:tab w:val="right" w:pos="9638"/>
      </w:tabs>
      <w:spacing w:line="240" w:lineRule="auto"/>
    </w:pPr>
  </w:style>
  <w:style w:type="character" w:customStyle="1" w:styleId="SidefodTegn">
    <w:name w:val="Sidefod Tegn"/>
    <w:basedOn w:val="Standardskrifttypeiafsnit"/>
    <w:link w:val="Sidefod"/>
    <w:uiPriority w:val="99"/>
    <w:rsid w:val="00C24940"/>
    <w:rPr>
      <w:rFonts w:asciiTheme="majorHAnsi" w:hAnsiTheme="majorHAnsi" w:cs="Arial"/>
      <w:szCs w:val="24"/>
    </w:rPr>
  </w:style>
  <w:style w:type="paragraph" w:customStyle="1" w:styleId="Pa7">
    <w:name w:val="Pa7"/>
    <w:basedOn w:val="Normal"/>
    <w:next w:val="Normal"/>
    <w:uiPriority w:val="99"/>
    <w:rsid w:val="00C24940"/>
    <w:pPr>
      <w:autoSpaceDE w:val="0"/>
      <w:autoSpaceDN w:val="0"/>
      <w:adjustRightInd w:val="0"/>
      <w:spacing w:line="181" w:lineRule="atLeast"/>
    </w:pPr>
    <w:rPr>
      <w:rFonts w:ascii="Open Sans Light" w:hAnsi="Open Sans Light" w:cs="Times New Roman"/>
      <w:sz w:val="24"/>
    </w:rPr>
  </w:style>
  <w:style w:type="paragraph" w:styleId="NormalWeb">
    <w:name w:val="Normal (Web)"/>
    <w:basedOn w:val="Normal"/>
    <w:uiPriority w:val="99"/>
    <w:unhideWhenUsed/>
    <w:rsid w:val="00C24940"/>
    <w:pPr>
      <w:spacing w:before="100" w:beforeAutospacing="1" w:after="100" w:afterAutospacing="1" w:line="240" w:lineRule="auto"/>
    </w:pPr>
    <w:rPr>
      <w:rFonts w:ascii="Times New Roman" w:eastAsia="Times New Roman" w:hAnsi="Times New Roman" w:cs="Times New Roman"/>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4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6181</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Sophie Fabricius</dc:creator>
  <cp:lastModifiedBy>Anne Sophie Fabricius</cp:lastModifiedBy>
  <cp:revision>2</cp:revision>
  <dcterms:created xsi:type="dcterms:W3CDTF">2020-06-02T11:23:00Z</dcterms:created>
  <dcterms:modified xsi:type="dcterms:W3CDTF">2020-06-02T11:23:00Z</dcterms:modified>
</cp:coreProperties>
</file>