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1B" w:rsidRPr="00452D1B" w:rsidRDefault="00452D1B" w:rsidP="00452D1B">
      <w:pPr>
        <w:jc w:val="right"/>
        <w:rPr>
          <w:rFonts w:ascii="Verdana" w:hAnsi="Verdana"/>
        </w:rPr>
      </w:pPr>
      <w:r w:rsidRPr="00452D1B">
        <w:rPr>
          <w:rFonts w:ascii="Verdana" w:hAnsi="Verdana"/>
        </w:rPr>
        <w:t>Vordingborg 18-03-2015</w:t>
      </w:r>
    </w:p>
    <w:p w:rsidR="00452D1B" w:rsidRPr="00452D1B" w:rsidRDefault="00452D1B" w:rsidP="00452D1B">
      <w:pPr>
        <w:adjustRightInd w:val="0"/>
        <w:rPr>
          <w:rFonts w:ascii="Verdana" w:eastAsia="Times New Roman" w:hAnsi="Verdana"/>
          <w:b/>
          <w:lang w:eastAsia="da-DK"/>
        </w:rPr>
      </w:pPr>
      <w:r>
        <w:rPr>
          <w:rFonts w:ascii="Verdana" w:eastAsia="Times New Roman" w:hAnsi="Verdana"/>
          <w:b/>
          <w:lang w:eastAsia="da-DK"/>
        </w:rPr>
        <w:br/>
      </w:r>
      <w:r w:rsidRPr="00452D1B">
        <w:rPr>
          <w:rFonts w:ascii="Verdana" w:eastAsia="Times New Roman" w:hAnsi="Verdana"/>
          <w:b/>
          <w:lang w:eastAsia="da-DK"/>
        </w:rPr>
        <w:t>Høringssvar om serviceinformation og kvalitetsstandarder</w:t>
      </w:r>
    </w:p>
    <w:p w:rsidR="00452D1B" w:rsidRPr="00452D1B" w:rsidRDefault="00452D1B" w:rsidP="00452D1B">
      <w:pPr>
        <w:adjustRightInd w:val="0"/>
        <w:rPr>
          <w:rFonts w:ascii="Verdana" w:eastAsia="Times New Roman" w:hAnsi="Verdana"/>
          <w:sz w:val="20"/>
          <w:szCs w:val="20"/>
          <w:lang w:eastAsia="da-DK"/>
        </w:rPr>
      </w:pPr>
    </w:p>
    <w:p w:rsidR="00452D1B" w:rsidRPr="00452D1B" w:rsidRDefault="00452D1B" w:rsidP="00452D1B">
      <w:pPr>
        <w:rPr>
          <w:rFonts w:ascii="Verdana" w:eastAsia="Times New Roman" w:hAnsi="Verdana" w:cs="Arial"/>
          <w:b/>
          <w:sz w:val="20"/>
          <w:szCs w:val="20"/>
          <w:lang w:eastAsia="da-DK"/>
        </w:rPr>
      </w:pPr>
    </w:p>
    <w:p w:rsidR="00452D1B" w:rsidRPr="00452D1B" w:rsidRDefault="00452D1B" w:rsidP="00452D1B">
      <w:pPr>
        <w:rPr>
          <w:rFonts w:ascii="Verdana" w:eastAsia="Times New Roman" w:hAnsi="Verdana" w:cs="Arial"/>
          <w:b/>
          <w:lang w:eastAsia="da-DK"/>
        </w:rPr>
      </w:pPr>
      <w:r w:rsidRPr="00452D1B">
        <w:rPr>
          <w:rFonts w:ascii="Verdana" w:eastAsia="Times New Roman" w:hAnsi="Verdana" w:cs="Arial"/>
          <w:b/>
          <w:lang w:eastAsia="da-DK"/>
        </w:rPr>
        <w:t xml:space="preserve">Personlig pleje og omsorg og praktisk bistand for voksne og ydelser efter sundhedsloven </w:t>
      </w:r>
    </w:p>
    <w:p w:rsidR="00452D1B" w:rsidRPr="00452D1B" w:rsidRDefault="00452D1B" w:rsidP="00452D1B">
      <w:pPr>
        <w:rPr>
          <w:rFonts w:ascii="Verdana" w:eastAsia="Times New Roman" w:hAnsi="Verdana" w:cs="Arial"/>
          <w:sz w:val="20"/>
          <w:szCs w:val="20"/>
          <w:lang w:eastAsia="da-DK"/>
        </w:rPr>
      </w:pPr>
      <w:bookmarkStart w:id="0" w:name="_GoBack"/>
      <w:bookmarkEnd w:id="0"/>
    </w:p>
    <w:p w:rsidR="00452D1B" w:rsidRPr="00452D1B" w:rsidRDefault="00452D1B" w:rsidP="00452D1B">
      <w:pPr>
        <w:rPr>
          <w:rFonts w:ascii="Verdana" w:eastAsia="Times New Roman" w:hAnsi="Verdana" w:cs="Arial"/>
          <w:b/>
          <w:sz w:val="20"/>
          <w:szCs w:val="20"/>
          <w:lang w:eastAsia="da-DK"/>
        </w:rPr>
      </w:pPr>
      <w:r w:rsidRPr="00452D1B">
        <w:rPr>
          <w:rFonts w:ascii="Verdana" w:eastAsia="Times New Roman" w:hAnsi="Verdana" w:cs="Arial"/>
          <w:b/>
          <w:sz w:val="20"/>
          <w:szCs w:val="20"/>
          <w:lang w:eastAsia="da-DK"/>
        </w:rPr>
        <w:t>Generelt</w:t>
      </w:r>
    </w:p>
    <w:p w:rsidR="00452D1B" w:rsidRPr="00452D1B" w:rsidRDefault="00452D1B" w:rsidP="00452D1B">
      <w:pPr>
        <w:rPr>
          <w:rFonts w:ascii="Verdana" w:eastAsia="Times New Roman" w:hAnsi="Verdana" w:cs="Arial"/>
          <w:sz w:val="20"/>
          <w:szCs w:val="20"/>
          <w:lang w:eastAsia="da-DK"/>
        </w:rPr>
      </w:pPr>
      <w:r w:rsidRPr="00452D1B">
        <w:rPr>
          <w:rFonts w:ascii="Verdana" w:eastAsia="Times New Roman" w:hAnsi="Verdana" w:cs="Arial"/>
          <w:sz w:val="20"/>
          <w:szCs w:val="20"/>
          <w:lang w:eastAsia="da-DK"/>
        </w:rPr>
        <w:t xml:space="preserve">Handicaprådet har med tilfredshed noteret, at der lægges op til uændret serviceniveau, og at der fortsat er fokus på dagligdagsrehabilitering og sundhedsfremme. </w:t>
      </w:r>
    </w:p>
    <w:p w:rsidR="00452D1B" w:rsidRPr="00452D1B" w:rsidRDefault="00452D1B" w:rsidP="00452D1B">
      <w:pPr>
        <w:adjustRightInd w:val="0"/>
        <w:rPr>
          <w:rFonts w:ascii="Verdana" w:eastAsia="Times New Roman" w:hAnsi="Verdana"/>
          <w:sz w:val="20"/>
          <w:szCs w:val="20"/>
          <w:lang w:eastAsia="da-DK"/>
        </w:rPr>
      </w:pPr>
    </w:p>
    <w:p w:rsidR="00452D1B" w:rsidRPr="00452D1B" w:rsidRDefault="00452D1B" w:rsidP="00452D1B">
      <w:pPr>
        <w:adjustRightInd w:val="0"/>
        <w:rPr>
          <w:rFonts w:ascii="Verdana" w:eastAsia="Times New Roman" w:hAnsi="Verdana"/>
          <w:sz w:val="20"/>
          <w:szCs w:val="20"/>
          <w:lang w:eastAsia="da-DK"/>
        </w:rPr>
      </w:pPr>
      <w:r w:rsidRPr="00452D1B">
        <w:rPr>
          <w:rFonts w:ascii="Verdana" w:eastAsia="Times New Roman" w:hAnsi="Verdana"/>
          <w:sz w:val="20"/>
          <w:szCs w:val="20"/>
          <w:lang w:eastAsia="da-DK"/>
        </w:rPr>
        <w:t xml:space="preserve">Handicaprådet har desuden med tilfredshed noteret, at der gennemføres mindst én brugerundersøgelse på hvert fagområde inden for en 4-årig valgperiode, og at dette er indskrevet i kvalitetsstandarderne. </w:t>
      </w:r>
    </w:p>
    <w:p w:rsidR="00452D1B" w:rsidRPr="00452D1B" w:rsidRDefault="00452D1B" w:rsidP="00452D1B">
      <w:pPr>
        <w:adjustRightInd w:val="0"/>
        <w:rPr>
          <w:rFonts w:ascii="Verdana" w:eastAsia="Times New Roman" w:hAnsi="Verdana"/>
          <w:sz w:val="20"/>
          <w:szCs w:val="20"/>
          <w:lang w:eastAsia="da-DK"/>
        </w:rPr>
      </w:pPr>
    </w:p>
    <w:p w:rsidR="00452D1B" w:rsidRPr="00452D1B" w:rsidRDefault="00452D1B" w:rsidP="00452D1B">
      <w:pPr>
        <w:adjustRightInd w:val="0"/>
        <w:rPr>
          <w:rFonts w:ascii="Verdana" w:eastAsia="Times New Roman" w:hAnsi="Verdana"/>
          <w:sz w:val="20"/>
          <w:szCs w:val="20"/>
          <w:lang w:eastAsia="da-DK"/>
        </w:rPr>
      </w:pPr>
      <w:r w:rsidRPr="00452D1B">
        <w:rPr>
          <w:rFonts w:ascii="Verdana" w:eastAsia="Times New Roman" w:hAnsi="Verdana"/>
          <w:sz w:val="20"/>
          <w:szCs w:val="20"/>
          <w:lang w:eastAsia="da-DK"/>
        </w:rPr>
        <w:t xml:space="preserve">Handicaprådet har med tilfredshed noteret, at alle serviceinformationer og kvalitetsstandarder nu kan læses på kommunens hjemmeside. </w:t>
      </w:r>
    </w:p>
    <w:p w:rsidR="00452D1B" w:rsidRPr="00452D1B" w:rsidRDefault="00452D1B" w:rsidP="00452D1B">
      <w:pPr>
        <w:rPr>
          <w:rFonts w:ascii="Verdana" w:eastAsia="Times New Roman" w:hAnsi="Verdana" w:cs="Arial"/>
          <w:sz w:val="20"/>
          <w:szCs w:val="20"/>
          <w:lang w:eastAsia="da-DK"/>
        </w:rPr>
      </w:pPr>
    </w:p>
    <w:p w:rsidR="00452D1B" w:rsidRPr="00452D1B" w:rsidRDefault="00452D1B" w:rsidP="00452D1B">
      <w:pPr>
        <w:rPr>
          <w:rFonts w:ascii="Verdana" w:eastAsia="Times New Roman" w:hAnsi="Verdana" w:cs="Arial"/>
          <w:sz w:val="20"/>
          <w:szCs w:val="20"/>
          <w:lang w:eastAsia="da-DK"/>
        </w:rPr>
      </w:pPr>
      <w:r w:rsidRPr="00452D1B">
        <w:rPr>
          <w:rFonts w:ascii="Verdana" w:eastAsia="Times New Roman" w:hAnsi="Verdana" w:cs="Arial"/>
          <w:sz w:val="20"/>
          <w:szCs w:val="20"/>
          <w:lang w:eastAsia="da-DK"/>
        </w:rPr>
        <w:t xml:space="preserve">Det fremgår af sagsfremstillingen til punktet, at der for personer under 18 år tages udgangspunkt i kvalitetsstandarderne for voksne, og at der i samarbejde og efter en konkret og individuel vurdering, fastlægges hvilken hjælp, der kan bevilges.  </w:t>
      </w:r>
    </w:p>
    <w:p w:rsidR="00452D1B" w:rsidRPr="00452D1B" w:rsidRDefault="00452D1B" w:rsidP="00452D1B">
      <w:pPr>
        <w:rPr>
          <w:rFonts w:ascii="Verdana" w:eastAsia="Times New Roman" w:hAnsi="Verdana" w:cs="Arial"/>
          <w:sz w:val="20"/>
          <w:szCs w:val="20"/>
          <w:lang w:eastAsia="da-DK"/>
        </w:rPr>
      </w:pPr>
    </w:p>
    <w:p w:rsidR="00452D1B" w:rsidRPr="00452D1B" w:rsidRDefault="00452D1B" w:rsidP="00452D1B">
      <w:pPr>
        <w:rPr>
          <w:rFonts w:ascii="Verdana" w:eastAsia="Times New Roman" w:hAnsi="Verdana" w:cs="Arial"/>
          <w:sz w:val="20"/>
          <w:szCs w:val="20"/>
          <w:lang w:eastAsia="da-DK"/>
        </w:rPr>
      </w:pPr>
      <w:r w:rsidRPr="00452D1B">
        <w:rPr>
          <w:rFonts w:ascii="Verdana" w:eastAsia="Times New Roman" w:hAnsi="Verdana" w:cs="Arial"/>
          <w:sz w:val="20"/>
          <w:szCs w:val="20"/>
          <w:lang w:eastAsia="da-DK"/>
        </w:rPr>
        <w:t>Handicaprådet anbefaler, at dette også fremgår af både serviceinformationer og kvalitetsstandarder, så det giver en retvisende information til borgerne.</w:t>
      </w:r>
    </w:p>
    <w:p w:rsidR="00452D1B" w:rsidRPr="00452D1B" w:rsidRDefault="00452D1B" w:rsidP="00452D1B">
      <w:pPr>
        <w:rPr>
          <w:rFonts w:ascii="Verdana" w:eastAsia="Times New Roman" w:hAnsi="Verdana" w:cs="Arial"/>
          <w:sz w:val="20"/>
          <w:szCs w:val="20"/>
          <w:lang w:eastAsia="da-DK"/>
        </w:rPr>
      </w:pPr>
    </w:p>
    <w:p w:rsidR="00452D1B" w:rsidRPr="00452D1B" w:rsidRDefault="00452D1B" w:rsidP="00452D1B">
      <w:pPr>
        <w:rPr>
          <w:rFonts w:ascii="Verdana" w:eastAsia="Times New Roman" w:hAnsi="Verdana" w:cs="Arial"/>
          <w:b/>
          <w:sz w:val="20"/>
          <w:szCs w:val="20"/>
          <w:lang w:eastAsia="da-DK"/>
        </w:rPr>
      </w:pPr>
      <w:r w:rsidRPr="00452D1B">
        <w:rPr>
          <w:rFonts w:ascii="Verdana" w:eastAsia="Times New Roman" w:hAnsi="Verdana" w:cs="Arial"/>
          <w:b/>
          <w:sz w:val="20"/>
          <w:szCs w:val="20"/>
          <w:lang w:eastAsia="da-DK"/>
        </w:rPr>
        <w:t>Serviceinformationer</w:t>
      </w:r>
    </w:p>
    <w:p w:rsidR="00452D1B" w:rsidRPr="00452D1B" w:rsidRDefault="00452D1B" w:rsidP="00452D1B">
      <w:pPr>
        <w:rPr>
          <w:rFonts w:ascii="Verdana" w:eastAsia="Times New Roman" w:hAnsi="Verdana" w:cs="Arial"/>
          <w:sz w:val="20"/>
          <w:szCs w:val="20"/>
          <w:lang w:eastAsia="da-DK"/>
        </w:rPr>
      </w:pPr>
      <w:r w:rsidRPr="00452D1B">
        <w:rPr>
          <w:rFonts w:ascii="Verdana" w:eastAsia="Times New Roman" w:hAnsi="Verdana" w:cs="Arial"/>
          <w:sz w:val="20"/>
          <w:szCs w:val="20"/>
          <w:lang w:eastAsia="da-DK"/>
        </w:rPr>
        <w:t>Handicaprådet har med tilfredshed noteret, at Ældresekretariatet de fleste steder er erstattet med Afdelingen for Pleje og Omsorg. Der er dog enkelte steder i serviceinformation for pleje og omsorg for voksne, hvor dette ikke er ændret, hvorfor Handicaprådet anbefaler, at dette rettes.</w:t>
      </w:r>
    </w:p>
    <w:p w:rsidR="00452D1B" w:rsidRPr="00452D1B" w:rsidRDefault="00452D1B" w:rsidP="00452D1B">
      <w:pPr>
        <w:rPr>
          <w:rFonts w:ascii="Verdana" w:eastAsia="Times New Roman" w:hAnsi="Verdana" w:cs="Arial"/>
          <w:sz w:val="20"/>
          <w:szCs w:val="20"/>
          <w:lang w:eastAsia="da-DK"/>
        </w:rPr>
      </w:pPr>
    </w:p>
    <w:p w:rsidR="00452D1B" w:rsidRPr="00452D1B" w:rsidRDefault="00452D1B" w:rsidP="00452D1B">
      <w:pPr>
        <w:rPr>
          <w:rFonts w:ascii="Verdana" w:eastAsia="Times New Roman" w:hAnsi="Verdana" w:cs="Arial"/>
          <w:sz w:val="20"/>
          <w:szCs w:val="20"/>
          <w:lang w:eastAsia="da-DK"/>
        </w:rPr>
      </w:pPr>
      <w:r w:rsidRPr="00452D1B">
        <w:rPr>
          <w:rFonts w:ascii="Verdana" w:eastAsia="Times New Roman" w:hAnsi="Verdana" w:cs="Arial"/>
          <w:sz w:val="20"/>
          <w:szCs w:val="20"/>
          <w:lang w:eastAsia="da-DK"/>
        </w:rPr>
        <w:t xml:space="preserve">Handicaprådet har bemærket, at der fortsat i serviceinformationen for personlig pleje og omsorg står følgende: ”Du kan </w:t>
      </w:r>
      <w:r w:rsidRPr="00452D1B">
        <w:rPr>
          <w:rFonts w:ascii="Verdana" w:eastAsia="Times New Roman" w:hAnsi="Verdana" w:cs="Arial"/>
          <w:b/>
          <w:sz w:val="20"/>
          <w:szCs w:val="20"/>
          <w:lang w:eastAsia="da-DK"/>
        </w:rPr>
        <w:t>ikke</w:t>
      </w:r>
      <w:r w:rsidRPr="00452D1B">
        <w:rPr>
          <w:rFonts w:ascii="Verdana" w:eastAsia="Times New Roman" w:hAnsi="Verdana" w:cs="Arial"/>
          <w:sz w:val="20"/>
          <w:szCs w:val="20"/>
          <w:lang w:eastAsia="da-DK"/>
        </w:rPr>
        <w:t xml:space="preserve"> få hjælp, hvis der i din husstand er en person, som kan udføre opgaven.” ”ikke” er skrevet med fede bogstaver, hvilket kan efterlade læseren den opfattelse, at enhver ansøgning på forhånd vil blive afslået. Der skal foretages en konkret individuel vurdering, hvilket denne firkantede formulering ikke giver udtryk for.</w:t>
      </w:r>
    </w:p>
    <w:p w:rsidR="00452D1B" w:rsidRPr="00452D1B" w:rsidRDefault="00452D1B" w:rsidP="00452D1B">
      <w:pPr>
        <w:rPr>
          <w:rFonts w:ascii="Verdana" w:eastAsia="Times New Roman" w:hAnsi="Verdana" w:cs="Arial"/>
          <w:sz w:val="20"/>
          <w:szCs w:val="20"/>
          <w:lang w:eastAsia="da-DK"/>
        </w:rPr>
      </w:pPr>
    </w:p>
    <w:p w:rsidR="00452D1B" w:rsidRPr="00452D1B" w:rsidRDefault="00452D1B" w:rsidP="00452D1B">
      <w:pPr>
        <w:rPr>
          <w:rFonts w:ascii="Verdana" w:eastAsia="Times New Roman" w:hAnsi="Verdana" w:cs="Arial"/>
          <w:sz w:val="20"/>
          <w:szCs w:val="20"/>
          <w:lang w:eastAsia="da-DK"/>
        </w:rPr>
      </w:pPr>
      <w:r w:rsidRPr="00452D1B">
        <w:rPr>
          <w:rFonts w:ascii="Verdana" w:eastAsia="Times New Roman" w:hAnsi="Verdana" w:cs="Arial"/>
          <w:sz w:val="20"/>
          <w:szCs w:val="20"/>
          <w:lang w:eastAsia="da-DK"/>
        </w:rPr>
        <w:t>Handicaprådet skal derfor fortsat anbefale, at sætningen udgår af serviceinformationen for personlig pleje om omsorg til voksne.</w:t>
      </w:r>
    </w:p>
    <w:p w:rsidR="00452D1B" w:rsidRPr="00452D1B" w:rsidRDefault="00452D1B" w:rsidP="00452D1B">
      <w:pPr>
        <w:rPr>
          <w:rFonts w:ascii="Verdana" w:eastAsia="Times New Roman" w:hAnsi="Verdana" w:cs="Arial"/>
          <w:sz w:val="20"/>
          <w:szCs w:val="20"/>
          <w:lang w:eastAsia="da-DK"/>
        </w:rPr>
      </w:pPr>
    </w:p>
    <w:p w:rsidR="00452D1B" w:rsidRPr="00452D1B" w:rsidRDefault="00452D1B" w:rsidP="00452D1B">
      <w:pPr>
        <w:rPr>
          <w:rFonts w:ascii="Verdana" w:eastAsia="Times New Roman" w:hAnsi="Verdana" w:cs="Arial"/>
          <w:sz w:val="20"/>
          <w:szCs w:val="20"/>
          <w:lang w:eastAsia="da-DK"/>
        </w:rPr>
      </w:pPr>
    </w:p>
    <w:p w:rsidR="00452D1B" w:rsidRPr="00452D1B" w:rsidRDefault="00452D1B" w:rsidP="00452D1B">
      <w:pPr>
        <w:rPr>
          <w:rFonts w:ascii="Verdana" w:eastAsia="Times New Roman" w:hAnsi="Verdana" w:cs="Arial"/>
          <w:sz w:val="20"/>
          <w:szCs w:val="20"/>
          <w:lang w:eastAsia="da-DK"/>
        </w:rPr>
      </w:pPr>
    </w:p>
    <w:p w:rsidR="00452D1B" w:rsidRPr="00452D1B" w:rsidRDefault="00452D1B" w:rsidP="00452D1B">
      <w:pPr>
        <w:rPr>
          <w:rFonts w:ascii="Verdana" w:eastAsia="Times New Roman" w:hAnsi="Verdana" w:cs="Arial"/>
          <w:b/>
          <w:sz w:val="20"/>
          <w:szCs w:val="20"/>
          <w:lang w:eastAsia="da-DK"/>
        </w:rPr>
      </w:pPr>
    </w:p>
    <w:p w:rsidR="00452D1B" w:rsidRPr="00452D1B" w:rsidRDefault="00452D1B" w:rsidP="00452D1B">
      <w:pPr>
        <w:rPr>
          <w:rFonts w:ascii="Verdana" w:eastAsia="Times New Roman" w:hAnsi="Verdana" w:cs="Arial"/>
          <w:b/>
          <w:sz w:val="20"/>
          <w:szCs w:val="20"/>
          <w:lang w:eastAsia="da-DK"/>
        </w:rPr>
      </w:pPr>
      <w:r w:rsidRPr="00452D1B">
        <w:rPr>
          <w:rFonts w:ascii="Verdana" w:eastAsia="Times New Roman" w:hAnsi="Verdana" w:cs="Arial"/>
          <w:b/>
          <w:sz w:val="20"/>
          <w:szCs w:val="20"/>
          <w:lang w:eastAsia="da-DK"/>
        </w:rPr>
        <w:t xml:space="preserve">Kvalitetsstandarter </w:t>
      </w:r>
    </w:p>
    <w:p w:rsidR="00452D1B" w:rsidRPr="00452D1B" w:rsidRDefault="00452D1B" w:rsidP="00452D1B">
      <w:pPr>
        <w:rPr>
          <w:rFonts w:ascii="Verdana" w:eastAsia="Times New Roman" w:hAnsi="Verdana" w:cs="Arial"/>
          <w:sz w:val="20"/>
          <w:szCs w:val="20"/>
          <w:lang w:eastAsia="da-DK"/>
        </w:rPr>
      </w:pPr>
      <w:r w:rsidRPr="00452D1B">
        <w:rPr>
          <w:rFonts w:ascii="Verdana" w:eastAsia="Times New Roman" w:hAnsi="Verdana" w:cs="Arial"/>
          <w:sz w:val="20"/>
          <w:szCs w:val="20"/>
          <w:lang w:eastAsia="da-DK"/>
        </w:rPr>
        <w:t xml:space="preserve">Handicaprådet her med tilfredshed noteret, at den sundhedsfremmende og aktiverende indsats prioriteres højt, så en række borgere opnår uafhængighed af hjælp og der forsat er ressourcer til at dække behovet for hjælp, hos borger med stort funktionstab og med massiv behov for pleje. </w:t>
      </w:r>
    </w:p>
    <w:p w:rsidR="00452D1B" w:rsidRPr="00452D1B" w:rsidRDefault="00452D1B" w:rsidP="00452D1B">
      <w:pPr>
        <w:adjustRightInd w:val="0"/>
        <w:rPr>
          <w:rFonts w:ascii="Verdana" w:eastAsia="Times New Roman" w:hAnsi="Verdana"/>
          <w:b/>
          <w:sz w:val="20"/>
          <w:szCs w:val="20"/>
          <w:lang w:eastAsia="da-DK"/>
        </w:rPr>
      </w:pPr>
    </w:p>
    <w:p w:rsidR="00452D1B" w:rsidRPr="00452D1B" w:rsidRDefault="00452D1B" w:rsidP="00452D1B">
      <w:pPr>
        <w:adjustRightInd w:val="0"/>
        <w:rPr>
          <w:rFonts w:ascii="Verdana" w:eastAsia="Times New Roman" w:hAnsi="Verdana"/>
          <w:sz w:val="20"/>
          <w:szCs w:val="20"/>
          <w:lang w:eastAsia="da-DK"/>
        </w:rPr>
      </w:pPr>
      <w:r w:rsidRPr="00452D1B">
        <w:rPr>
          <w:rFonts w:ascii="Verdana" w:eastAsia="Times New Roman" w:hAnsi="Verdana"/>
          <w:sz w:val="20"/>
          <w:szCs w:val="20"/>
          <w:lang w:eastAsia="da-DK"/>
        </w:rPr>
        <w:t xml:space="preserve">Handicaprådet har dog konstateret, at der på enkelte plejecentre er opslået kvalitetsstandard fra 2009 vedr. ledsagelse af borgerne til lægebesøg, tandlægebesøg og lignede, hvor det er de pårørende, der skal levere ydelsen. Der handles fortsat i forhold til dette, hvilket ikke er i overensstemmelse med gældende regler og fremsendte kvalitetsstandarter for 2015-16. </w:t>
      </w:r>
    </w:p>
    <w:p w:rsidR="00452D1B" w:rsidRPr="00452D1B" w:rsidRDefault="00452D1B" w:rsidP="00452D1B">
      <w:pPr>
        <w:adjustRightInd w:val="0"/>
        <w:rPr>
          <w:rFonts w:ascii="Verdana" w:eastAsia="Times New Roman" w:hAnsi="Verdana"/>
          <w:sz w:val="20"/>
          <w:szCs w:val="20"/>
          <w:lang w:eastAsia="da-DK"/>
        </w:rPr>
      </w:pPr>
      <w:r w:rsidRPr="00452D1B">
        <w:rPr>
          <w:rFonts w:ascii="Verdana" w:eastAsia="Times New Roman" w:hAnsi="Verdana"/>
          <w:sz w:val="20"/>
          <w:szCs w:val="20"/>
          <w:lang w:eastAsia="da-DK"/>
        </w:rPr>
        <w:t xml:space="preserve">Handicaprådet skal i den forbindelse henstille, at det sikres, at alle borgere også dem, der bor på plejecentrene, får ledsagelse i henhold til gældende lovgivning og kvalitetsstandarder.     </w:t>
      </w:r>
    </w:p>
    <w:p w:rsidR="00452D1B" w:rsidRPr="00452D1B" w:rsidRDefault="00452D1B" w:rsidP="00452D1B">
      <w:pPr>
        <w:rPr>
          <w:rFonts w:ascii="Verdana" w:eastAsia="Times New Roman" w:hAnsi="Verdana" w:cs="Arial"/>
          <w:sz w:val="20"/>
          <w:szCs w:val="20"/>
          <w:lang w:eastAsia="da-DK"/>
        </w:rPr>
      </w:pPr>
    </w:p>
    <w:p w:rsidR="00452D1B" w:rsidRPr="00452D1B" w:rsidRDefault="00452D1B" w:rsidP="00452D1B">
      <w:pPr>
        <w:rPr>
          <w:rFonts w:ascii="Verdana" w:eastAsia="Times New Roman" w:hAnsi="Verdana" w:cs="Arial"/>
          <w:sz w:val="20"/>
          <w:szCs w:val="20"/>
          <w:lang w:eastAsia="da-DK"/>
        </w:rPr>
      </w:pPr>
      <w:r w:rsidRPr="00452D1B">
        <w:rPr>
          <w:rFonts w:ascii="Verdana" w:eastAsia="Times New Roman" w:hAnsi="Verdana" w:cs="Arial"/>
          <w:sz w:val="20"/>
          <w:szCs w:val="20"/>
          <w:lang w:eastAsia="da-DK"/>
        </w:rPr>
        <w:lastRenderedPageBreak/>
        <w:t>Handicaprådet har desuden bemærket, at der i kvalitetsstandarten vedr. aflastningsophold til voksne</w:t>
      </w:r>
      <w:r w:rsidRPr="00452D1B">
        <w:rPr>
          <w:rFonts w:ascii="Verdana" w:eastAsia="Times New Roman" w:hAnsi="Verdana" w:cs="Arial"/>
          <w:b/>
          <w:sz w:val="20"/>
          <w:szCs w:val="20"/>
          <w:lang w:eastAsia="da-DK"/>
        </w:rPr>
        <w:t>,</w:t>
      </w:r>
      <w:r w:rsidRPr="00452D1B">
        <w:rPr>
          <w:rFonts w:ascii="Verdana" w:eastAsia="Times New Roman" w:hAnsi="Verdana" w:cs="Arial"/>
          <w:sz w:val="20"/>
          <w:szCs w:val="20"/>
          <w:lang w:eastAsia="da-DK"/>
        </w:rPr>
        <w:t xml:space="preserve"> under afsnittet ”Hvem leverer ydelsen” fortsat står, at aflastningsopholdet vil være på et at kommunens plejecentre. </w:t>
      </w:r>
    </w:p>
    <w:p w:rsidR="00452D1B" w:rsidRPr="00452D1B" w:rsidRDefault="00452D1B" w:rsidP="00452D1B">
      <w:pPr>
        <w:rPr>
          <w:rFonts w:ascii="Verdana" w:eastAsia="Times New Roman" w:hAnsi="Verdana" w:cs="Arial"/>
          <w:sz w:val="20"/>
          <w:szCs w:val="20"/>
          <w:lang w:eastAsia="da-DK"/>
        </w:rPr>
      </w:pPr>
    </w:p>
    <w:p w:rsidR="00452D1B" w:rsidRPr="00452D1B" w:rsidRDefault="00452D1B" w:rsidP="00452D1B">
      <w:pPr>
        <w:rPr>
          <w:rFonts w:ascii="Verdana" w:eastAsia="Times New Roman" w:hAnsi="Verdana" w:cs="Arial"/>
          <w:sz w:val="20"/>
          <w:szCs w:val="20"/>
          <w:lang w:eastAsia="da-DK"/>
        </w:rPr>
      </w:pPr>
      <w:r w:rsidRPr="00452D1B">
        <w:rPr>
          <w:rFonts w:ascii="Verdana" w:eastAsia="Times New Roman" w:hAnsi="Verdana" w:cs="Arial"/>
          <w:sz w:val="20"/>
          <w:szCs w:val="20"/>
          <w:lang w:eastAsia="da-DK"/>
        </w:rPr>
        <w:t>Handicaprådet skal derfor fortsat anbefale, at aflastningsophold, for fx yngre borgere med fysik eller psykisk funktionsnedsættelse tilbydes i andre mere aldersrelaterede botilbud en kommunens plejecentre.</w:t>
      </w:r>
    </w:p>
    <w:p w:rsidR="00452D1B" w:rsidRPr="00452D1B" w:rsidRDefault="00452D1B" w:rsidP="00452D1B">
      <w:pPr>
        <w:adjustRightInd w:val="0"/>
        <w:rPr>
          <w:rFonts w:ascii="Verdana" w:eastAsia="Times New Roman" w:hAnsi="Verdana"/>
          <w:sz w:val="20"/>
          <w:szCs w:val="20"/>
          <w:lang w:eastAsia="da-DK"/>
        </w:rPr>
      </w:pPr>
    </w:p>
    <w:p w:rsidR="00452D1B" w:rsidRPr="00452D1B" w:rsidRDefault="00452D1B" w:rsidP="00452D1B">
      <w:pPr>
        <w:adjustRightInd w:val="0"/>
        <w:rPr>
          <w:rFonts w:ascii="Verdana" w:eastAsia="Times New Roman" w:hAnsi="Verdana"/>
          <w:b/>
          <w:lang w:eastAsia="da-DK"/>
        </w:rPr>
      </w:pPr>
      <w:r w:rsidRPr="00452D1B">
        <w:rPr>
          <w:rFonts w:ascii="Verdana" w:eastAsia="Times New Roman" w:hAnsi="Verdana"/>
          <w:b/>
          <w:lang w:eastAsia="da-DK"/>
        </w:rPr>
        <w:t>Genbrugshjælpemidler, boligindretning og tilskud til handicapbil</w:t>
      </w:r>
    </w:p>
    <w:p w:rsidR="00452D1B" w:rsidRPr="00452D1B" w:rsidRDefault="00452D1B" w:rsidP="00452D1B">
      <w:pPr>
        <w:adjustRightInd w:val="0"/>
        <w:rPr>
          <w:rFonts w:ascii="Verdana" w:eastAsia="Times New Roman" w:hAnsi="Verdana"/>
          <w:b/>
          <w:sz w:val="20"/>
          <w:szCs w:val="20"/>
          <w:lang w:eastAsia="da-DK"/>
        </w:rPr>
      </w:pPr>
    </w:p>
    <w:p w:rsidR="00452D1B" w:rsidRPr="00452D1B" w:rsidRDefault="00452D1B" w:rsidP="00452D1B">
      <w:pPr>
        <w:adjustRightInd w:val="0"/>
        <w:rPr>
          <w:rFonts w:ascii="Verdana" w:eastAsia="Times New Roman" w:hAnsi="Verdana"/>
          <w:b/>
          <w:sz w:val="20"/>
          <w:szCs w:val="20"/>
          <w:lang w:eastAsia="da-DK"/>
        </w:rPr>
      </w:pPr>
      <w:r w:rsidRPr="00452D1B">
        <w:rPr>
          <w:rFonts w:ascii="Verdana" w:eastAsia="Times New Roman" w:hAnsi="Verdana"/>
          <w:b/>
          <w:sz w:val="20"/>
          <w:szCs w:val="20"/>
          <w:lang w:eastAsia="da-DK"/>
        </w:rPr>
        <w:t>Generelt</w:t>
      </w:r>
    </w:p>
    <w:p w:rsidR="00452D1B" w:rsidRPr="00452D1B" w:rsidRDefault="00452D1B" w:rsidP="00452D1B">
      <w:pPr>
        <w:adjustRightInd w:val="0"/>
        <w:rPr>
          <w:rFonts w:ascii="Verdana" w:eastAsia="Times New Roman" w:hAnsi="Verdana" w:cs="TimesNewRoman,Bold"/>
          <w:bCs/>
          <w:sz w:val="20"/>
          <w:szCs w:val="20"/>
          <w:lang w:eastAsia="da-DK"/>
        </w:rPr>
      </w:pPr>
      <w:r w:rsidRPr="00452D1B">
        <w:rPr>
          <w:rFonts w:ascii="Verdana" w:eastAsia="Times New Roman" w:hAnsi="Verdana" w:cs="TimesNewRoman,Bold"/>
          <w:bCs/>
          <w:sz w:val="20"/>
          <w:szCs w:val="20"/>
          <w:lang w:eastAsia="da-DK"/>
        </w:rPr>
        <w:t>Handicaprådet har med tilfredshed noteret, at Serviceinformation og Kvalitetsstandarderne beskrives, som gældende for borger med varig fysisk eller psykisk funktionsnedsættelse og derved også for børn og unge med funktionsnedsættelse, hvilket giver en retvisende information til borgerne.</w:t>
      </w:r>
    </w:p>
    <w:p w:rsidR="00452D1B" w:rsidRPr="00452D1B" w:rsidRDefault="00452D1B" w:rsidP="00452D1B">
      <w:pPr>
        <w:adjustRightInd w:val="0"/>
        <w:rPr>
          <w:rFonts w:ascii="Verdana" w:eastAsia="Times New Roman" w:hAnsi="Verdana" w:cs="Arial"/>
          <w:sz w:val="20"/>
          <w:szCs w:val="20"/>
          <w:lang w:eastAsia="da-DK"/>
        </w:rPr>
      </w:pPr>
    </w:p>
    <w:p w:rsidR="00452D1B" w:rsidRPr="00452D1B" w:rsidRDefault="00452D1B" w:rsidP="00452D1B">
      <w:pPr>
        <w:adjustRightInd w:val="0"/>
        <w:rPr>
          <w:rFonts w:ascii="Verdana" w:eastAsia="Times New Roman" w:hAnsi="Verdana" w:cs="Arial"/>
          <w:sz w:val="20"/>
          <w:szCs w:val="20"/>
          <w:lang w:eastAsia="da-DK"/>
        </w:rPr>
      </w:pPr>
      <w:r w:rsidRPr="00452D1B">
        <w:rPr>
          <w:rFonts w:ascii="Verdana" w:eastAsia="Times New Roman" w:hAnsi="Verdana" w:cs="Arial"/>
          <w:sz w:val="20"/>
          <w:szCs w:val="20"/>
          <w:lang w:eastAsia="da-DK"/>
        </w:rPr>
        <w:t>Handicaprådet har ligeledes med tilfredshed noteret, at vilkår for frit valg af leverandør er beskrevet i både serviceinformation og alle kvalitetsstandarder, herunder muligheden for selv at betale forskellen i prisen på det valgte hjælpemiddel.</w:t>
      </w:r>
    </w:p>
    <w:p w:rsidR="00452D1B" w:rsidRPr="00452D1B" w:rsidRDefault="00452D1B" w:rsidP="00452D1B">
      <w:pPr>
        <w:rPr>
          <w:rFonts w:ascii="Verdana" w:eastAsia="Times New Roman" w:hAnsi="Verdana" w:cs="Arial"/>
          <w:sz w:val="20"/>
          <w:szCs w:val="20"/>
          <w:lang w:eastAsia="da-DK"/>
        </w:rPr>
      </w:pPr>
    </w:p>
    <w:p w:rsidR="00452D1B" w:rsidRPr="00452D1B" w:rsidRDefault="00452D1B" w:rsidP="00452D1B">
      <w:pPr>
        <w:rPr>
          <w:rFonts w:ascii="Verdana" w:eastAsia="Times New Roman" w:hAnsi="Verdana" w:cs="Arial"/>
          <w:sz w:val="20"/>
          <w:szCs w:val="20"/>
          <w:lang w:eastAsia="da-DK"/>
        </w:rPr>
      </w:pPr>
      <w:r w:rsidRPr="00452D1B">
        <w:rPr>
          <w:rFonts w:ascii="Verdana" w:eastAsia="Times New Roman" w:hAnsi="Verdana" w:cs="Arial"/>
          <w:sz w:val="20"/>
          <w:szCs w:val="20"/>
          <w:lang w:eastAsia="da-DK"/>
        </w:rPr>
        <w:t xml:space="preserve">Handicaprådet har med noteret, at der både i serviceinformation og i kvalitetsstandarderne er beskrevet, hvem man kan kontakte og hvilken akut hjælp der kan gives ved nedbrud af livsvigtig hjælpemiddel. Det er dog fortsat ikke beskrevet, hvordan personer </w:t>
      </w:r>
    </w:p>
    <w:p w:rsidR="00452D1B" w:rsidRPr="00452D1B" w:rsidRDefault="00452D1B" w:rsidP="00452D1B">
      <w:pPr>
        <w:rPr>
          <w:rFonts w:ascii="Verdana" w:eastAsia="Times New Roman" w:hAnsi="Verdana" w:cs="Arial"/>
          <w:sz w:val="20"/>
          <w:szCs w:val="20"/>
          <w:lang w:eastAsia="da-DK"/>
        </w:rPr>
      </w:pPr>
      <w:r w:rsidRPr="00452D1B">
        <w:rPr>
          <w:rFonts w:ascii="Verdana" w:eastAsia="Times New Roman" w:hAnsi="Verdana" w:cs="Arial"/>
          <w:sz w:val="20"/>
          <w:szCs w:val="20"/>
          <w:lang w:eastAsia="da-DK"/>
        </w:rPr>
        <w:t>henvende sig ved beskadigelse af nødvendigt hjælpemiddel fx en el-kørestol, som ikke kan repareres på almindeligt værksted.</w:t>
      </w:r>
    </w:p>
    <w:p w:rsidR="00452D1B" w:rsidRPr="00452D1B" w:rsidRDefault="00452D1B" w:rsidP="00452D1B">
      <w:pPr>
        <w:adjustRightInd w:val="0"/>
        <w:rPr>
          <w:rFonts w:ascii="Verdana" w:eastAsia="Times New Roman" w:hAnsi="Verdana" w:cs="Arial"/>
          <w:b/>
          <w:sz w:val="20"/>
          <w:szCs w:val="20"/>
          <w:lang w:eastAsia="da-DK"/>
        </w:rPr>
      </w:pPr>
    </w:p>
    <w:p w:rsidR="00452D1B" w:rsidRPr="00452D1B" w:rsidRDefault="00452D1B" w:rsidP="00452D1B">
      <w:pPr>
        <w:adjustRightInd w:val="0"/>
        <w:rPr>
          <w:rFonts w:ascii="Verdana" w:eastAsia="Times New Roman" w:hAnsi="Verdana" w:cs="Arial"/>
          <w:b/>
          <w:sz w:val="20"/>
          <w:szCs w:val="20"/>
          <w:lang w:eastAsia="da-DK"/>
        </w:rPr>
      </w:pPr>
      <w:r w:rsidRPr="00452D1B">
        <w:rPr>
          <w:rFonts w:ascii="Verdana" w:eastAsia="Times New Roman" w:hAnsi="Verdana" w:cs="Arial"/>
          <w:b/>
          <w:sz w:val="20"/>
          <w:szCs w:val="20"/>
          <w:lang w:eastAsia="da-DK"/>
        </w:rPr>
        <w:t>Serviceinformationen</w:t>
      </w:r>
    </w:p>
    <w:p w:rsidR="00452D1B" w:rsidRPr="00452D1B" w:rsidRDefault="00452D1B" w:rsidP="00452D1B">
      <w:pPr>
        <w:adjustRightInd w:val="0"/>
        <w:rPr>
          <w:rFonts w:ascii="Verdana" w:eastAsia="Times New Roman" w:hAnsi="Verdana" w:cs="Arial"/>
          <w:sz w:val="20"/>
          <w:szCs w:val="20"/>
          <w:lang w:eastAsia="da-DK"/>
        </w:rPr>
      </w:pPr>
      <w:r w:rsidRPr="00452D1B">
        <w:rPr>
          <w:rFonts w:ascii="Verdana" w:eastAsia="Times New Roman" w:hAnsi="Verdana" w:cs="Arial"/>
          <w:sz w:val="20"/>
          <w:szCs w:val="20"/>
          <w:lang w:eastAsia="da-DK"/>
        </w:rPr>
        <w:t>Handicaprådet har følgende bemærkninger: Den samlede serviceinformation virker uoverskuelig og fremstår derfor ikke som klar og tydelig information til borgerne.</w:t>
      </w:r>
    </w:p>
    <w:p w:rsidR="00452D1B" w:rsidRPr="00452D1B" w:rsidRDefault="00452D1B" w:rsidP="00452D1B">
      <w:pPr>
        <w:adjustRightInd w:val="0"/>
        <w:rPr>
          <w:rFonts w:ascii="Verdana" w:eastAsia="Times New Roman" w:hAnsi="Verdana" w:cs="Arial"/>
          <w:sz w:val="20"/>
          <w:szCs w:val="20"/>
          <w:lang w:eastAsia="da-DK"/>
        </w:rPr>
      </w:pPr>
    </w:p>
    <w:p w:rsidR="00452D1B" w:rsidRPr="00452D1B" w:rsidRDefault="00452D1B" w:rsidP="00452D1B">
      <w:pPr>
        <w:adjustRightInd w:val="0"/>
        <w:rPr>
          <w:rFonts w:ascii="Verdana" w:eastAsia="Times New Roman" w:hAnsi="Verdana" w:cs="Arial"/>
          <w:sz w:val="20"/>
          <w:szCs w:val="20"/>
          <w:lang w:eastAsia="da-DK"/>
        </w:rPr>
      </w:pPr>
      <w:r w:rsidRPr="00452D1B">
        <w:rPr>
          <w:rFonts w:ascii="Verdana" w:eastAsia="Times New Roman" w:hAnsi="Verdana" w:cs="Arial"/>
          <w:sz w:val="20"/>
          <w:szCs w:val="20"/>
          <w:lang w:eastAsia="da-DK"/>
        </w:rPr>
        <w:t xml:space="preserve">Handicaprådet skal derfor anbefale, at den samlede serviceinformation opdeles i tre, en for genbrugshjælpemidler, en for boligændringer og en for tilskud til handicapbil, samt at lægges på kommunens hjemmeside under de enkelte områder.  </w:t>
      </w:r>
    </w:p>
    <w:p w:rsidR="00452D1B" w:rsidRPr="00452D1B" w:rsidRDefault="00452D1B" w:rsidP="00452D1B">
      <w:pPr>
        <w:adjustRightInd w:val="0"/>
        <w:rPr>
          <w:rFonts w:ascii="Verdana" w:eastAsia="Times New Roman" w:hAnsi="Verdana" w:cs="Arial"/>
          <w:b/>
          <w:sz w:val="20"/>
          <w:szCs w:val="20"/>
          <w:lang w:eastAsia="da-DK"/>
        </w:rPr>
      </w:pPr>
    </w:p>
    <w:p w:rsidR="00452D1B" w:rsidRPr="00452D1B" w:rsidRDefault="00452D1B" w:rsidP="00452D1B">
      <w:pPr>
        <w:adjustRightInd w:val="0"/>
        <w:rPr>
          <w:rFonts w:ascii="Verdana" w:eastAsia="Times New Roman" w:hAnsi="Verdana" w:cs="Arial"/>
          <w:b/>
          <w:sz w:val="20"/>
          <w:szCs w:val="20"/>
          <w:lang w:eastAsia="da-DK"/>
        </w:rPr>
      </w:pPr>
      <w:r w:rsidRPr="00452D1B">
        <w:rPr>
          <w:rFonts w:ascii="Verdana" w:eastAsia="Times New Roman" w:hAnsi="Verdana" w:cs="Arial"/>
          <w:b/>
          <w:sz w:val="20"/>
          <w:szCs w:val="20"/>
          <w:lang w:eastAsia="da-DK"/>
        </w:rPr>
        <w:t>Kvalitetsstandarderne</w:t>
      </w:r>
    </w:p>
    <w:p w:rsidR="00452D1B" w:rsidRPr="00452D1B" w:rsidRDefault="00452D1B" w:rsidP="00452D1B">
      <w:pPr>
        <w:adjustRightInd w:val="0"/>
        <w:rPr>
          <w:rFonts w:ascii="Verdana" w:eastAsia="Times New Roman" w:hAnsi="Verdana" w:cs="Arial"/>
          <w:sz w:val="20"/>
          <w:szCs w:val="20"/>
          <w:lang w:eastAsia="da-DK"/>
        </w:rPr>
      </w:pPr>
      <w:r w:rsidRPr="00452D1B">
        <w:rPr>
          <w:rFonts w:ascii="Verdana" w:eastAsia="Times New Roman" w:hAnsi="Verdana" w:cs="Arial"/>
          <w:sz w:val="20"/>
          <w:szCs w:val="20"/>
          <w:lang w:eastAsia="da-DK"/>
        </w:rPr>
        <w:t xml:space="preserve">Handicaprådet har bemærket, at der fortsat under afgrænsning for trehjulet cykel, knallert og el-scooter fortsat fremgår det, at disse ikke bevilges, hvis behovet kan dækkes af anden transport fx </w:t>
      </w:r>
      <w:r w:rsidRPr="00452D1B">
        <w:rPr>
          <w:rFonts w:ascii="Verdana" w:eastAsia="Times New Roman" w:hAnsi="Verdana" w:cs="Arial"/>
          <w:i/>
          <w:sz w:val="20"/>
          <w:szCs w:val="20"/>
          <w:lang w:eastAsia="da-DK"/>
        </w:rPr>
        <w:t>handicapkørsel</w:t>
      </w:r>
      <w:r w:rsidRPr="00452D1B">
        <w:rPr>
          <w:rFonts w:ascii="Verdana" w:eastAsia="Times New Roman" w:hAnsi="Verdana" w:cs="Arial"/>
          <w:sz w:val="20"/>
          <w:szCs w:val="20"/>
          <w:lang w:eastAsia="da-DK"/>
        </w:rPr>
        <w:t xml:space="preserve"> eller offentlig transport. </w:t>
      </w:r>
    </w:p>
    <w:p w:rsidR="00452D1B" w:rsidRPr="00452D1B" w:rsidRDefault="00452D1B" w:rsidP="00452D1B">
      <w:pPr>
        <w:adjustRightInd w:val="0"/>
        <w:rPr>
          <w:rFonts w:ascii="Verdana" w:eastAsia="Times New Roman" w:hAnsi="Verdana" w:cs="Arial"/>
          <w:sz w:val="20"/>
          <w:szCs w:val="20"/>
          <w:lang w:eastAsia="da-DK"/>
        </w:rPr>
      </w:pPr>
    </w:p>
    <w:p w:rsidR="00452D1B" w:rsidRPr="00452D1B" w:rsidRDefault="00452D1B" w:rsidP="00452D1B">
      <w:pPr>
        <w:adjustRightInd w:val="0"/>
        <w:rPr>
          <w:rFonts w:ascii="Verdana" w:eastAsia="Times New Roman" w:hAnsi="Verdana" w:cs="Arial"/>
          <w:sz w:val="20"/>
          <w:szCs w:val="20"/>
          <w:lang w:eastAsia="da-DK"/>
        </w:rPr>
      </w:pPr>
      <w:r w:rsidRPr="00452D1B">
        <w:rPr>
          <w:rFonts w:ascii="Verdana" w:eastAsia="Times New Roman" w:hAnsi="Verdana" w:cs="Arial"/>
          <w:sz w:val="20"/>
          <w:szCs w:val="20"/>
          <w:lang w:eastAsia="da-DK"/>
        </w:rPr>
        <w:t>Handicaprådet skal derfor fortsat anbefale, at handicapkørsel udgår af teksten, da det ikke er relevant i forhold til disse transportmidler.</w:t>
      </w:r>
    </w:p>
    <w:p w:rsidR="00452D1B" w:rsidRPr="00452D1B" w:rsidRDefault="00452D1B" w:rsidP="00452D1B">
      <w:pPr>
        <w:adjustRightInd w:val="0"/>
        <w:rPr>
          <w:rFonts w:ascii="Verdana" w:eastAsia="Times New Roman" w:hAnsi="Verdana" w:cs="Arial"/>
          <w:sz w:val="20"/>
          <w:szCs w:val="20"/>
          <w:lang w:eastAsia="da-DK"/>
        </w:rPr>
      </w:pPr>
    </w:p>
    <w:p w:rsidR="00452D1B" w:rsidRPr="00452D1B" w:rsidRDefault="00452D1B" w:rsidP="00452D1B">
      <w:pPr>
        <w:tabs>
          <w:tab w:val="left" w:pos="2790"/>
        </w:tabs>
        <w:rPr>
          <w:rFonts w:ascii="Verdana" w:eastAsia="Times New Roman" w:hAnsi="Verdana" w:cs="Arial"/>
          <w:sz w:val="20"/>
          <w:szCs w:val="20"/>
          <w:lang w:eastAsia="da-DK"/>
        </w:rPr>
      </w:pPr>
    </w:p>
    <w:p w:rsidR="00452D1B" w:rsidRPr="00452D1B" w:rsidRDefault="00452D1B" w:rsidP="00452D1B">
      <w:pPr>
        <w:rPr>
          <w:rFonts w:ascii="Verdana" w:eastAsia="Times New Roman" w:hAnsi="Verdana" w:cs="Arial"/>
          <w:sz w:val="20"/>
          <w:szCs w:val="20"/>
          <w:lang w:eastAsia="da-DK"/>
        </w:rPr>
      </w:pPr>
      <w:r w:rsidRPr="00452D1B">
        <w:rPr>
          <w:rFonts w:ascii="Verdana" w:eastAsia="Times New Roman" w:hAnsi="Verdana" w:cs="Arial"/>
          <w:sz w:val="20"/>
          <w:szCs w:val="20"/>
          <w:lang w:eastAsia="da-DK"/>
        </w:rPr>
        <w:t>Med venlig hilsen</w:t>
      </w:r>
    </w:p>
    <w:p w:rsidR="00452D1B" w:rsidRPr="00452D1B" w:rsidRDefault="00452D1B" w:rsidP="00452D1B">
      <w:pPr>
        <w:rPr>
          <w:rFonts w:ascii="Verdana" w:eastAsia="Times New Roman" w:hAnsi="Verdana" w:cs="Arial"/>
          <w:sz w:val="20"/>
          <w:szCs w:val="20"/>
          <w:lang w:eastAsia="da-DK"/>
        </w:rPr>
      </w:pPr>
    </w:p>
    <w:p w:rsidR="00452D1B" w:rsidRPr="00452D1B" w:rsidRDefault="00452D1B" w:rsidP="00452D1B">
      <w:pPr>
        <w:rPr>
          <w:rFonts w:ascii="Verdana" w:eastAsia="Times New Roman" w:hAnsi="Verdana" w:cs="Arial"/>
          <w:sz w:val="20"/>
          <w:szCs w:val="20"/>
          <w:lang w:eastAsia="da-DK"/>
        </w:rPr>
      </w:pPr>
      <w:r w:rsidRPr="00452D1B">
        <w:rPr>
          <w:rFonts w:ascii="Verdana" w:eastAsia="Times New Roman" w:hAnsi="Verdana" w:cs="Arial"/>
          <w:sz w:val="20"/>
          <w:szCs w:val="20"/>
          <w:lang w:eastAsia="da-DK"/>
        </w:rPr>
        <w:t>Anders J. Andersen</w:t>
      </w:r>
    </w:p>
    <w:p w:rsidR="00452D1B" w:rsidRPr="00452D1B" w:rsidRDefault="00452D1B" w:rsidP="00452D1B">
      <w:pPr>
        <w:rPr>
          <w:rFonts w:ascii="Verdana" w:eastAsia="Times New Roman" w:hAnsi="Verdana" w:cs="Arial"/>
          <w:sz w:val="20"/>
          <w:szCs w:val="20"/>
          <w:lang w:eastAsia="da-DK"/>
        </w:rPr>
      </w:pPr>
      <w:r w:rsidRPr="00452D1B">
        <w:rPr>
          <w:rFonts w:ascii="Verdana" w:eastAsia="Times New Roman" w:hAnsi="Verdana" w:cs="Arial"/>
          <w:sz w:val="20"/>
          <w:szCs w:val="20"/>
          <w:lang w:eastAsia="da-DK"/>
        </w:rPr>
        <w:t>formand</w:t>
      </w:r>
    </w:p>
    <w:p w:rsidR="00452D1B" w:rsidRDefault="00452D1B" w:rsidP="00FD7179"/>
    <w:p w:rsidR="00452D1B" w:rsidRDefault="00452D1B" w:rsidP="00FD7179"/>
    <w:p w:rsidR="00FD7179" w:rsidRDefault="00B34E31" w:rsidP="00FD7179">
      <w:pPr>
        <w:rPr>
          <w:szCs w:val="26"/>
        </w:rPr>
      </w:pPr>
      <w:r>
        <w:br/>
      </w:r>
    </w:p>
    <w:p w:rsidR="008C079F" w:rsidRDefault="00487078" w:rsidP="00487078">
      <w:r>
        <w:rPr>
          <w:szCs w:val="26"/>
        </w:rPr>
        <w:br/>
      </w:r>
    </w:p>
    <w:sectPr w:rsidR="008C079F" w:rsidSect="00EA6694">
      <w:pgSz w:w="11907" w:h="16839" w:code="9"/>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63AAC"/>
    <w:multiLevelType w:val="hybridMultilevel"/>
    <w:tmpl w:val="B9E06F52"/>
    <w:lvl w:ilvl="0" w:tplc="F8849E1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23A68F5"/>
    <w:multiLevelType w:val="hybridMultilevel"/>
    <w:tmpl w:val="AA4C9438"/>
    <w:lvl w:ilvl="0" w:tplc="7DB05DB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0A661E9"/>
    <w:multiLevelType w:val="hybridMultilevel"/>
    <w:tmpl w:val="57ACD1A8"/>
    <w:lvl w:ilvl="0" w:tplc="51BAE40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45"/>
    <w:rsid w:val="00067657"/>
    <w:rsid w:val="000827CB"/>
    <w:rsid w:val="000C307A"/>
    <w:rsid w:val="000D1A8E"/>
    <w:rsid w:val="00137B20"/>
    <w:rsid w:val="001A77F3"/>
    <w:rsid w:val="001C3E86"/>
    <w:rsid w:val="001D2AC4"/>
    <w:rsid w:val="001E0304"/>
    <w:rsid w:val="001E5C55"/>
    <w:rsid w:val="00252C3B"/>
    <w:rsid w:val="00280C45"/>
    <w:rsid w:val="00287FA3"/>
    <w:rsid w:val="00297ABC"/>
    <w:rsid w:val="002B0A62"/>
    <w:rsid w:val="002C397A"/>
    <w:rsid w:val="002C4EDB"/>
    <w:rsid w:val="0030430D"/>
    <w:rsid w:val="00326AB4"/>
    <w:rsid w:val="0034671B"/>
    <w:rsid w:val="00371463"/>
    <w:rsid w:val="00391CE7"/>
    <w:rsid w:val="00393BA3"/>
    <w:rsid w:val="003F58F2"/>
    <w:rsid w:val="004105BD"/>
    <w:rsid w:val="0044364A"/>
    <w:rsid w:val="00452D1B"/>
    <w:rsid w:val="00452D8C"/>
    <w:rsid w:val="00481406"/>
    <w:rsid w:val="00487078"/>
    <w:rsid w:val="00491F98"/>
    <w:rsid w:val="0049779E"/>
    <w:rsid w:val="004A1E9A"/>
    <w:rsid w:val="004B0857"/>
    <w:rsid w:val="004F5753"/>
    <w:rsid w:val="0051237D"/>
    <w:rsid w:val="00564169"/>
    <w:rsid w:val="005A6B45"/>
    <w:rsid w:val="005B7A36"/>
    <w:rsid w:val="005C02CF"/>
    <w:rsid w:val="005F779D"/>
    <w:rsid w:val="00613084"/>
    <w:rsid w:val="00622C3B"/>
    <w:rsid w:val="006665EC"/>
    <w:rsid w:val="0068155C"/>
    <w:rsid w:val="00696444"/>
    <w:rsid w:val="006A5163"/>
    <w:rsid w:val="006A6A73"/>
    <w:rsid w:val="006B323F"/>
    <w:rsid w:val="006E63BD"/>
    <w:rsid w:val="00716252"/>
    <w:rsid w:val="00784786"/>
    <w:rsid w:val="007E6AF6"/>
    <w:rsid w:val="0080024A"/>
    <w:rsid w:val="008235A1"/>
    <w:rsid w:val="008434D8"/>
    <w:rsid w:val="008438EB"/>
    <w:rsid w:val="008C079F"/>
    <w:rsid w:val="00963353"/>
    <w:rsid w:val="009A4C13"/>
    <w:rsid w:val="009C35A2"/>
    <w:rsid w:val="009D69D1"/>
    <w:rsid w:val="009D7027"/>
    <w:rsid w:val="00A11467"/>
    <w:rsid w:val="00A20FE1"/>
    <w:rsid w:val="00A7236E"/>
    <w:rsid w:val="00A74FD7"/>
    <w:rsid w:val="00A8367E"/>
    <w:rsid w:val="00A87770"/>
    <w:rsid w:val="00AB70C1"/>
    <w:rsid w:val="00AE176E"/>
    <w:rsid w:val="00AF4C19"/>
    <w:rsid w:val="00B2682D"/>
    <w:rsid w:val="00B34E31"/>
    <w:rsid w:val="00B4584E"/>
    <w:rsid w:val="00B56CCD"/>
    <w:rsid w:val="00B7775D"/>
    <w:rsid w:val="00BD789A"/>
    <w:rsid w:val="00BE3DD6"/>
    <w:rsid w:val="00C34132"/>
    <w:rsid w:val="00C400C3"/>
    <w:rsid w:val="00C747C9"/>
    <w:rsid w:val="00C82BFB"/>
    <w:rsid w:val="00CF74C7"/>
    <w:rsid w:val="00D13AE1"/>
    <w:rsid w:val="00D16B79"/>
    <w:rsid w:val="00D37423"/>
    <w:rsid w:val="00D66B57"/>
    <w:rsid w:val="00D94ECB"/>
    <w:rsid w:val="00DA41E1"/>
    <w:rsid w:val="00DB758B"/>
    <w:rsid w:val="00DC4C71"/>
    <w:rsid w:val="00DD5242"/>
    <w:rsid w:val="00E128A7"/>
    <w:rsid w:val="00E266D5"/>
    <w:rsid w:val="00E35B28"/>
    <w:rsid w:val="00E42AAE"/>
    <w:rsid w:val="00E6086B"/>
    <w:rsid w:val="00EA6694"/>
    <w:rsid w:val="00EC3BA8"/>
    <w:rsid w:val="00F133FF"/>
    <w:rsid w:val="00F23BE3"/>
    <w:rsid w:val="00F3223F"/>
    <w:rsid w:val="00F87AF9"/>
    <w:rsid w:val="00FC29CF"/>
    <w:rsid w:val="00FD71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27"/>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E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E6AF6"/>
    <w:pPr>
      <w:spacing w:after="200" w:line="276" w:lineRule="auto"/>
      <w:ind w:left="720"/>
      <w:contextualSpacing/>
    </w:pPr>
    <w:rPr>
      <w:rFonts w:asciiTheme="minorHAnsi" w:hAnsiTheme="minorHAnsi" w:cstheme="minorBidi"/>
    </w:rPr>
  </w:style>
  <w:style w:type="paragraph" w:styleId="Markeringsbobletekst">
    <w:name w:val="Balloon Text"/>
    <w:basedOn w:val="Normal"/>
    <w:link w:val="MarkeringsbobletekstTegn"/>
    <w:uiPriority w:val="99"/>
    <w:semiHidden/>
    <w:unhideWhenUsed/>
    <w:rsid w:val="001D2AC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2AC4"/>
    <w:rPr>
      <w:rFonts w:ascii="Tahoma" w:hAnsi="Tahoma" w:cs="Tahoma"/>
      <w:sz w:val="16"/>
      <w:szCs w:val="16"/>
    </w:rPr>
  </w:style>
  <w:style w:type="character" w:styleId="Hyperlink">
    <w:name w:val="Hyperlink"/>
    <w:basedOn w:val="Standardskrifttypeiafsnit"/>
    <w:uiPriority w:val="99"/>
    <w:unhideWhenUsed/>
    <w:rsid w:val="0049779E"/>
    <w:rPr>
      <w:color w:val="144FAE"/>
      <w:u w:val="single"/>
    </w:rPr>
  </w:style>
  <w:style w:type="paragraph" w:styleId="NormalWeb">
    <w:name w:val="Normal (Web)"/>
    <w:basedOn w:val="Normal"/>
    <w:uiPriority w:val="99"/>
    <w:semiHidden/>
    <w:unhideWhenUsed/>
    <w:rsid w:val="0049779E"/>
    <w:pPr>
      <w:spacing w:before="100" w:beforeAutospacing="1" w:after="100" w:afterAutospacing="1"/>
    </w:pPr>
    <w:rPr>
      <w:rFonts w:ascii="Times New Roman" w:eastAsia="Times New Roman" w:hAnsi="Times New Roman"/>
      <w:color w:val="000000"/>
      <w:sz w:val="24"/>
      <w:szCs w:val="24"/>
      <w:lang w:eastAsia="da-DK"/>
    </w:rPr>
  </w:style>
  <w:style w:type="paragraph" w:customStyle="1" w:styleId="section">
    <w:name w:val="section"/>
    <w:basedOn w:val="Normal"/>
    <w:rsid w:val="00EC3BA8"/>
    <w:pPr>
      <w:spacing w:after="30" w:line="312" w:lineRule="atLeast"/>
    </w:pPr>
    <w:rPr>
      <w:rFonts w:ascii="Times New Roman" w:eastAsia="Times New Roman" w:hAnsi="Times New Roman"/>
      <w:sz w:val="24"/>
      <w:szCs w:val="24"/>
      <w:lang w:eastAsia="da-DK"/>
    </w:rPr>
  </w:style>
  <w:style w:type="character" w:styleId="Strk">
    <w:name w:val="Strong"/>
    <w:basedOn w:val="Standardskrifttypeiafsnit"/>
    <w:uiPriority w:val="22"/>
    <w:qFormat/>
    <w:rsid w:val="00EC3BA8"/>
    <w:rPr>
      <w:b/>
      <w:bCs/>
    </w:rPr>
  </w:style>
  <w:style w:type="character" w:styleId="BesgtHyperlink">
    <w:name w:val="FollowedHyperlink"/>
    <w:basedOn w:val="Standardskrifttypeiafsnit"/>
    <w:uiPriority w:val="99"/>
    <w:semiHidden/>
    <w:unhideWhenUsed/>
    <w:rsid w:val="006130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27"/>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E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E6AF6"/>
    <w:pPr>
      <w:spacing w:after="200" w:line="276" w:lineRule="auto"/>
      <w:ind w:left="720"/>
      <w:contextualSpacing/>
    </w:pPr>
    <w:rPr>
      <w:rFonts w:asciiTheme="minorHAnsi" w:hAnsiTheme="minorHAnsi" w:cstheme="minorBidi"/>
    </w:rPr>
  </w:style>
  <w:style w:type="paragraph" w:styleId="Markeringsbobletekst">
    <w:name w:val="Balloon Text"/>
    <w:basedOn w:val="Normal"/>
    <w:link w:val="MarkeringsbobletekstTegn"/>
    <w:uiPriority w:val="99"/>
    <w:semiHidden/>
    <w:unhideWhenUsed/>
    <w:rsid w:val="001D2AC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2AC4"/>
    <w:rPr>
      <w:rFonts w:ascii="Tahoma" w:hAnsi="Tahoma" w:cs="Tahoma"/>
      <w:sz w:val="16"/>
      <w:szCs w:val="16"/>
    </w:rPr>
  </w:style>
  <w:style w:type="character" w:styleId="Hyperlink">
    <w:name w:val="Hyperlink"/>
    <w:basedOn w:val="Standardskrifttypeiafsnit"/>
    <w:uiPriority w:val="99"/>
    <w:unhideWhenUsed/>
    <w:rsid w:val="0049779E"/>
    <w:rPr>
      <w:color w:val="144FAE"/>
      <w:u w:val="single"/>
    </w:rPr>
  </w:style>
  <w:style w:type="paragraph" w:styleId="NormalWeb">
    <w:name w:val="Normal (Web)"/>
    <w:basedOn w:val="Normal"/>
    <w:uiPriority w:val="99"/>
    <w:semiHidden/>
    <w:unhideWhenUsed/>
    <w:rsid w:val="0049779E"/>
    <w:pPr>
      <w:spacing w:before="100" w:beforeAutospacing="1" w:after="100" w:afterAutospacing="1"/>
    </w:pPr>
    <w:rPr>
      <w:rFonts w:ascii="Times New Roman" w:eastAsia="Times New Roman" w:hAnsi="Times New Roman"/>
      <w:color w:val="000000"/>
      <w:sz w:val="24"/>
      <w:szCs w:val="24"/>
      <w:lang w:eastAsia="da-DK"/>
    </w:rPr>
  </w:style>
  <w:style w:type="paragraph" w:customStyle="1" w:styleId="section">
    <w:name w:val="section"/>
    <w:basedOn w:val="Normal"/>
    <w:rsid w:val="00EC3BA8"/>
    <w:pPr>
      <w:spacing w:after="30" w:line="312" w:lineRule="atLeast"/>
    </w:pPr>
    <w:rPr>
      <w:rFonts w:ascii="Times New Roman" w:eastAsia="Times New Roman" w:hAnsi="Times New Roman"/>
      <w:sz w:val="24"/>
      <w:szCs w:val="24"/>
      <w:lang w:eastAsia="da-DK"/>
    </w:rPr>
  </w:style>
  <w:style w:type="character" w:styleId="Strk">
    <w:name w:val="Strong"/>
    <w:basedOn w:val="Standardskrifttypeiafsnit"/>
    <w:uiPriority w:val="22"/>
    <w:qFormat/>
    <w:rsid w:val="00EC3BA8"/>
    <w:rPr>
      <w:b/>
      <w:bCs/>
    </w:rPr>
  </w:style>
  <w:style w:type="character" w:styleId="BesgtHyperlink">
    <w:name w:val="FollowedHyperlink"/>
    <w:basedOn w:val="Standardskrifttypeiafsnit"/>
    <w:uiPriority w:val="99"/>
    <w:semiHidden/>
    <w:unhideWhenUsed/>
    <w:rsid w:val="006130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3582">
      <w:bodyDiv w:val="1"/>
      <w:marLeft w:val="0"/>
      <w:marRight w:val="0"/>
      <w:marTop w:val="0"/>
      <w:marBottom w:val="0"/>
      <w:divBdr>
        <w:top w:val="none" w:sz="0" w:space="0" w:color="auto"/>
        <w:left w:val="none" w:sz="0" w:space="0" w:color="auto"/>
        <w:bottom w:val="none" w:sz="0" w:space="0" w:color="auto"/>
        <w:right w:val="none" w:sz="0" w:space="0" w:color="auto"/>
      </w:divBdr>
    </w:div>
    <w:div w:id="484200866">
      <w:bodyDiv w:val="1"/>
      <w:marLeft w:val="0"/>
      <w:marRight w:val="0"/>
      <w:marTop w:val="0"/>
      <w:marBottom w:val="0"/>
      <w:divBdr>
        <w:top w:val="none" w:sz="0" w:space="0" w:color="auto"/>
        <w:left w:val="none" w:sz="0" w:space="0" w:color="auto"/>
        <w:bottom w:val="none" w:sz="0" w:space="0" w:color="auto"/>
        <w:right w:val="none" w:sz="0" w:space="0" w:color="auto"/>
      </w:divBdr>
    </w:div>
    <w:div w:id="521670872">
      <w:bodyDiv w:val="1"/>
      <w:marLeft w:val="0"/>
      <w:marRight w:val="0"/>
      <w:marTop w:val="0"/>
      <w:marBottom w:val="0"/>
      <w:divBdr>
        <w:top w:val="none" w:sz="0" w:space="0" w:color="auto"/>
        <w:left w:val="none" w:sz="0" w:space="0" w:color="auto"/>
        <w:bottom w:val="none" w:sz="0" w:space="0" w:color="auto"/>
        <w:right w:val="none" w:sz="0" w:space="0" w:color="auto"/>
      </w:divBdr>
    </w:div>
    <w:div w:id="611713066">
      <w:bodyDiv w:val="1"/>
      <w:marLeft w:val="0"/>
      <w:marRight w:val="0"/>
      <w:marTop w:val="0"/>
      <w:marBottom w:val="0"/>
      <w:divBdr>
        <w:top w:val="none" w:sz="0" w:space="0" w:color="auto"/>
        <w:left w:val="none" w:sz="0" w:space="0" w:color="auto"/>
        <w:bottom w:val="none" w:sz="0" w:space="0" w:color="auto"/>
        <w:right w:val="none" w:sz="0" w:space="0" w:color="auto"/>
      </w:divBdr>
    </w:div>
    <w:div w:id="743525762">
      <w:bodyDiv w:val="1"/>
      <w:marLeft w:val="0"/>
      <w:marRight w:val="0"/>
      <w:marTop w:val="0"/>
      <w:marBottom w:val="0"/>
      <w:divBdr>
        <w:top w:val="none" w:sz="0" w:space="0" w:color="auto"/>
        <w:left w:val="none" w:sz="0" w:space="0" w:color="auto"/>
        <w:bottom w:val="none" w:sz="0" w:space="0" w:color="auto"/>
        <w:right w:val="none" w:sz="0" w:space="0" w:color="auto"/>
      </w:divBdr>
    </w:div>
    <w:div w:id="1123381120">
      <w:bodyDiv w:val="1"/>
      <w:marLeft w:val="0"/>
      <w:marRight w:val="0"/>
      <w:marTop w:val="0"/>
      <w:marBottom w:val="0"/>
      <w:divBdr>
        <w:top w:val="none" w:sz="0" w:space="0" w:color="auto"/>
        <w:left w:val="none" w:sz="0" w:space="0" w:color="auto"/>
        <w:bottom w:val="none" w:sz="0" w:space="0" w:color="auto"/>
        <w:right w:val="none" w:sz="0" w:space="0" w:color="auto"/>
      </w:divBdr>
    </w:div>
    <w:div w:id="1262183664">
      <w:bodyDiv w:val="1"/>
      <w:marLeft w:val="0"/>
      <w:marRight w:val="0"/>
      <w:marTop w:val="0"/>
      <w:marBottom w:val="0"/>
      <w:divBdr>
        <w:top w:val="none" w:sz="0" w:space="0" w:color="auto"/>
        <w:left w:val="none" w:sz="0" w:space="0" w:color="auto"/>
        <w:bottom w:val="none" w:sz="0" w:space="0" w:color="auto"/>
        <w:right w:val="none" w:sz="0" w:space="0" w:color="auto"/>
      </w:divBdr>
    </w:div>
    <w:div w:id="1422603497">
      <w:bodyDiv w:val="1"/>
      <w:marLeft w:val="0"/>
      <w:marRight w:val="0"/>
      <w:marTop w:val="0"/>
      <w:marBottom w:val="0"/>
      <w:divBdr>
        <w:top w:val="none" w:sz="0" w:space="0" w:color="auto"/>
        <w:left w:val="none" w:sz="0" w:space="0" w:color="auto"/>
        <w:bottom w:val="none" w:sz="0" w:space="0" w:color="auto"/>
        <w:right w:val="none" w:sz="0" w:space="0" w:color="auto"/>
      </w:divBdr>
    </w:div>
    <w:div w:id="1437946239">
      <w:bodyDiv w:val="1"/>
      <w:marLeft w:val="0"/>
      <w:marRight w:val="0"/>
      <w:marTop w:val="0"/>
      <w:marBottom w:val="0"/>
      <w:divBdr>
        <w:top w:val="none" w:sz="0" w:space="0" w:color="auto"/>
        <w:left w:val="none" w:sz="0" w:space="0" w:color="auto"/>
        <w:bottom w:val="none" w:sz="0" w:space="0" w:color="auto"/>
        <w:right w:val="none" w:sz="0" w:space="0" w:color="auto"/>
      </w:divBdr>
    </w:div>
    <w:div w:id="1604268022">
      <w:bodyDiv w:val="1"/>
      <w:marLeft w:val="0"/>
      <w:marRight w:val="0"/>
      <w:marTop w:val="0"/>
      <w:marBottom w:val="0"/>
      <w:divBdr>
        <w:top w:val="none" w:sz="0" w:space="0" w:color="auto"/>
        <w:left w:val="none" w:sz="0" w:space="0" w:color="auto"/>
        <w:bottom w:val="none" w:sz="0" w:space="0" w:color="auto"/>
        <w:right w:val="none" w:sz="0" w:space="0" w:color="auto"/>
      </w:divBdr>
    </w:div>
    <w:div w:id="2064015371">
      <w:bodyDiv w:val="1"/>
      <w:marLeft w:val="0"/>
      <w:marRight w:val="0"/>
      <w:marTop w:val="0"/>
      <w:marBottom w:val="0"/>
      <w:divBdr>
        <w:top w:val="none" w:sz="0" w:space="0" w:color="auto"/>
        <w:left w:val="none" w:sz="0" w:space="0" w:color="auto"/>
        <w:bottom w:val="none" w:sz="0" w:space="0" w:color="auto"/>
        <w:right w:val="none" w:sz="0" w:space="0" w:color="auto"/>
      </w:divBdr>
    </w:div>
    <w:div w:id="2066752973">
      <w:bodyDiv w:val="1"/>
      <w:marLeft w:val="0"/>
      <w:marRight w:val="0"/>
      <w:marTop w:val="0"/>
      <w:marBottom w:val="0"/>
      <w:divBdr>
        <w:top w:val="none" w:sz="0" w:space="0" w:color="auto"/>
        <w:left w:val="none" w:sz="0" w:space="0" w:color="auto"/>
        <w:bottom w:val="none" w:sz="0" w:space="0" w:color="auto"/>
        <w:right w:val="none" w:sz="0" w:space="0" w:color="auto"/>
      </w:divBdr>
      <w:divsChild>
        <w:div w:id="1602224925">
          <w:marLeft w:val="0"/>
          <w:marRight w:val="0"/>
          <w:marTop w:val="100"/>
          <w:marBottom w:val="100"/>
          <w:divBdr>
            <w:top w:val="none" w:sz="0" w:space="0" w:color="auto"/>
            <w:left w:val="none" w:sz="0" w:space="0" w:color="auto"/>
            <w:bottom w:val="none" w:sz="0" w:space="0" w:color="auto"/>
            <w:right w:val="none" w:sz="0" w:space="0" w:color="auto"/>
          </w:divBdr>
          <w:divsChild>
            <w:div w:id="1510095431">
              <w:marLeft w:val="0"/>
              <w:marRight w:val="0"/>
              <w:marTop w:val="0"/>
              <w:marBottom w:val="0"/>
              <w:divBdr>
                <w:top w:val="none" w:sz="0" w:space="0" w:color="auto"/>
                <w:left w:val="none" w:sz="0" w:space="0" w:color="auto"/>
                <w:bottom w:val="none" w:sz="0" w:space="0" w:color="auto"/>
                <w:right w:val="none" w:sz="0" w:space="0" w:color="auto"/>
              </w:divBdr>
              <w:divsChild>
                <w:div w:id="627854397">
                  <w:marLeft w:val="0"/>
                  <w:marRight w:val="0"/>
                  <w:marTop w:val="0"/>
                  <w:marBottom w:val="0"/>
                  <w:divBdr>
                    <w:top w:val="none" w:sz="0" w:space="0" w:color="auto"/>
                    <w:left w:val="none" w:sz="0" w:space="0" w:color="auto"/>
                    <w:bottom w:val="single" w:sz="36" w:space="15" w:color="C62030"/>
                    <w:right w:val="none" w:sz="0" w:space="0" w:color="auto"/>
                  </w:divBdr>
                  <w:divsChild>
                    <w:div w:id="1088161316">
                      <w:marLeft w:val="0"/>
                      <w:marRight w:val="0"/>
                      <w:marTop w:val="0"/>
                      <w:marBottom w:val="0"/>
                      <w:divBdr>
                        <w:top w:val="none" w:sz="0" w:space="0" w:color="auto"/>
                        <w:left w:val="none" w:sz="0" w:space="0" w:color="auto"/>
                        <w:bottom w:val="none" w:sz="0" w:space="0" w:color="auto"/>
                        <w:right w:val="none" w:sz="0" w:space="0" w:color="auto"/>
                      </w:divBdr>
                      <w:divsChild>
                        <w:div w:id="729617334">
                          <w:marLeft w:val="0"/>
                          <w:marRight w:val="0"/>
                          <w:marTop w:val="0"/>
                          <w:marBottom w:val="0"/>
                          <w:divBdr>
                            <w:top w:val="single" w:sz="6" w:space="23" w:color="A7B0B5"/>
                            <w:left w:val="none" w:sz="0" w:space="0" w:color="auto"/>
                            <w:bottom w:val="none" w:sz="0" w:space="0" w:color="auto"/>
                            <w:right w:val="none" w:sz="0" w:space="0" w:color="auto"/>
                          </w:divBdr>
                          <w:divsChild>
                            <w:div w:id="1412434729">
                              <w:marLeft w:val="0"/>
                              <w:marRight w:val="0"/>
                              <w:marTop w:val="0"/>
                              <w:marBottom w:val="0"/>
                              <w:divBdr>
                                <w:top w:val="none" w:sz="0" w:space="0" w:color="auto"/>
                                <w:left w:val="none" w:sz="0" w:space="0" w:color="auto"/>
                                <w:bottom w:val="none" w:sz="0" w:space="0" w:color="auto"/>
                                <w:right w:val="none" w:sz="0" w:space="0" w:color="auto"/>
                              </w:divBdr>
                              <w:divsChild>
                                <w:div w:id="1610358538">
                                  <w:marLeft w:val="0"/>
                                  <w:marRight w:val="0"/>
                                  <w:marTop w:val="0"/>
                                  <w:marBottom w:val="0"/>
                                  <w:divBdr>
                                    <w:top w:val="none" w:sz="0" w:space="0" w:color="auto"/>
                                    <w:left w:val="none" w:sz="0" w:space="0" w:color="auto"/>
                                    <w:bottom w:val="none" w:sz="0" w:space="0" w:color="auto"/>
                                    <w:right w:val="none" w:sz="0" w:space="0" w:color="auto"/>
                                  </w:divBdr>
                                  <w:divsChild>
                                    <w:div w:id="1830092999">
                                      <w:marLeft w:val="0"/>
                                      <w:marRight w:val="0"/>
                                      <w:marTop w:val="0"/>
                                      <w:marBottom w:val="0"/>
                                      <w:divBdr>
                                        <w:top w:val="none" w:sz="0" w:space="0" w:color="auto"/>
                                        <w:left w:val="none" w:sz="0" w:space="0" w:color="auto"/>
                                        <w:bottom w:val="none" w:sz="0" w:space="0" w:color="auto"/>
                                        <w:right w:val="none" w:sz="0" w:space="0" w:color="auto"/>
                                      </w:divBdr>
                                      <w:divsChild>
                                        <w:div w:id="825439055">
                                          <w:marLeft w:val="0"/>
                                          <w:marRight w:val="0"/>
                                          <w:marTop w:val="0"/>
                                          <w:marBottom w:val="0"/>
                                          <w:divBdr>
                                            <w:top w:val="none" w:sz="0" w:space="0" w:color="auto"/>
                                            <w:left w:val="none" w:sz="0" w:space="0" w:color="auto"/>
                                            <w:bottom w:val="single" w:sz="6" w:space="0" w:color="A7B0B5"/>
                                            <w:right w:val="none" w:sz="0" w:space="0" w:color="auto"/>
                                          </w:divBdr>
                                        </w:div>
                                      </w:divsChild>
                                    </w:div>
                                  </w:divsChild>
                                </w:div>
                              </w:divsChild>
                            </w:div>
                          </w:divsChild>
                        </w:div>
                      </w:divsChild>
                    </w:div>
                  </w:divsChild>
                </w:div>
              </w:divsChild>
            </w:div>
          </w:divsChild>
        </w:div>
      </w:divsChild>
    </w:div>
    <w:div w:id="208105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Søndergaard Pedersen - DH</dc:creator>
  <cp:lastModifiedBy>Mette Søndergaard Pedersen - DH</cp:lastModifiedBy>
  <cp:revision>2</cp:revision>
  <cp:lastPrinted>2014-02-22T15:27:00Z</cp:lastPrinted>
  <dcterms:created xsi:type="dcterms:W3CDTF">2015-10-07T21:08:00Z</dcterms:created>
  <dcterms:modified xsi:type="dcterms:W3CDTF">2015-10-07T21:08:00Z</dcterms:modified>
</cp:coreProperties>
</file>